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F9" w:rsidRDefault="009E4FCF" w:rsidP="006E3533">
      <w:pPr>
        <w:spacing w:line="240" w:lineRule="auto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-295910</wp:posOffset>
            </wp:positionV>
            <wp:extent cx="512445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20" y="21397"/>
                <wp:lineTo x="21520" y="0"/>
                <wp:lineTo x="0" y="0"/>
              </wp:wrapPolygon>
            </wp:wrapTight>
            <wp:docPr id="5" name="Picture 2" descr="C:\Users\DIMITRIS\Desktop\Marie Curie RISE 2017\OCHRAVINE CONTROL IMPLEMENTATION\Pictures for web\IMG_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ITRIS\Desktop\Marie Curie RISE 2017\OCHRAVINE CONTROL IMPLEMENTATION\Pictures for web\IMG_53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1C4" w:rsidRDefault="00D701C4" w:rsidP="006E3533">
      <w:pPr>
        <w:spacing w:line="240" w:lineRule="auto"/>
      </w:pPr>
    </w:p>
    <w:p w:rsidR="00D701C4" w:rsidRDefault="00D701C4" w:rsidP="006E3533">
      <w:pPr>
        <w:spacing w:line="240" w:lineRule="auto"/>
      </w:pPr>
    </w:p>
    <w:p w:rsidR="00D701C4" w:rsidRDefault="00D701C4" w:rsidP="006E3533">
      <w:pPr>
        <w:spacing w:line="240" w:lineRule="auto"/>
      </w:pPr>
    </w:p>
    <w:p w:rsidR="00154D81" w:rsidRDefault="00154D81" w:rsidP="00742957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154D81" w:rsidRDefault="00154D81" w:rsidP="00154D81">
      <w:pPr>
        <w:spacing w:after="0"/>
        <w:rPr>
          <w:b/>
          <w:bCs/>
          <w:color w:val="000000"/>
          <w:sz w:val="28"/>
          <w:szCs w:val="28"/>
        </w:rPr>
      </w:pPr>
    </w:p>
    <w:p w:rsidR="0016206C" w:rsidRDefault="00D701C4" w:rsidP="00742957">
      <w:pPr>
        <w:spacing w:after="0"/>
        <w:jc w:val="center"/>
        <w:rPr>
          <w:rFonts w:cs="Arial"/>
          <w:b/>
          <w:sz w:val="28"/>
          <w:szCs w:val="28"/>
          <w:lang w:val="en-GB"/>
        </w:rPr>
      </w:pPr>
      <w:r w:rsidRPr="00E034CB">
        <w:rPr>
          <w:b/>
          <w:bCs/>
          <w:sz w:val="28"/>
          <w:szCs w:val="28"/>
          <w:lang w:val="en-GB"/>
        </w:rPr>
        <w:t>Horizon</w:t>
      </w:r>
      <w:r w:rsidRPr="00E034CB">
        <w:rPr>
          <w:b/>
          <w:bCs/>
          <w:sz w:val="28"/>
          <w:szCs w:val="28"/>
        </w:rPr>
        <w:t xml:space="preserve"> 2020-</w:t>
      </w:r>
      <w:r w:rsidRPr="00E034CB">
        <w:rPr>
          <w:b/>
          <w:bCs/>
          <w:sz w:val="28"/>
          <w:szCs w:val="28"/>
          <w:lang w:val="en-GB"/>
        </w:rPr>
        <w:t>RISE</w:t>
      </w:r>
      <w:r w:rsidRPr="00E034CB">
        <w:rPr>
          <w:b/>
          <w:bCs/>
          <w:sz w:val="28"/>
          <w:szCs w:val="28"/>
        </w:rPr>
        <w:t xml:space="preserve">: </w:t>
      </w:r>
      <w:r w:rsidR="00014D11" w:rsidRPr="00E034CB">
        <w:rPr>
          <w:b/>
          <w:bCs/>
          <w:i/>
          <w:sz w:val="28"/>
          <w:szCs w:val="28"/>
          <w:lang w:val="en-US"/>
        </w:rPr>
        <w:t>OchraVine</w:t>
      </w:r>
      <w:r w:rsidR="00014D11" w:rsidRPr="00E034CB">
        <w:rPr>
          <w:b/>
          <w:bCs/>
          <w:i/>
          <w:sz w:val="28"/>
          <w:szCs w:val="28"/>
        </w:rPr>
        <w:t xml:space="preserve"> </w:t>
      </w:r>
      <w:r w:rsidR="00014D11" w:rsidRPr="00E034CB">
        <w:rPr>
          <w:b/>
          <w:bCs/>
          <w:i/>
          <w:iCs/>
          <w:sz w:val="28"/>
          <w:szCs w:val="28"/>
          <w:lang w:val="en-US"/>
        </w:rPr>
        <w:t>Control</w:t>
      </w:r>
      <w:r w:rsidRPr="00E034CB">
        <w:rPr>
          <w:rFonts w:cs="Arial"/>
          <w:b/>
          <w:sz w:val="28"/>
          <w:szCs w:val="28"/>
        </w:rPr>
        <w:t xml:space="preserve"> -</w:t>
      </w:r>
      <w:r w:rsidR="00C56CE9">
        <w:rPr>
          <w:rFonts w:cs="Arial"/>
          <w:b/>
          <w:sz w:val="28"/>
          <w:szCs w:val="28"/>
        </w:rPr>
        <w:t xml:space="preserve"> </w:t>
      </w:r>
      <w:r w:rsidRPr="00E034CB">
        <w:rPr>
          <w:rFonts w:cs="Arial"/>
          <w:b/>
          <w:sz w:val="28"/>
          <w:szCs w:val="28"/>
        </w:rPr>
        <w:t xml:space="preserve">Εφαρμογή ολοκληρωμένων </w:t>
      </w:r>
    </w:p>
    <w:p w:rsidR="0016206C" w:rsidRDefault="00D701C4" w:rsidP="00742957">
      <w:pPr>
        <w:spacing w:after="0"/>
        <w:jc w:val="center"/>
        <w:rPr>
          <w:rFonts w:cs="Arial"/>
          <w:b/>
          <w:sz w:val="28"/>
          <w:szCs w:val="28"/>
          <w:lang w:val="en-GB"/>
        </w:rPr>
      </w:pPr>
      <w:r w:rsidRPr="00E034CB">
        <w:rPr>
          <w:rFonts w:cs="Arial"/>
          <w:b/>
          <w:sz w:val="28"/>
          <w:szCs w:val="28"/>
        </w:rPr>
        <w:t xml:space="preserve">και καινοτόμων στρατηγικών γεωργίας ακριβείας για τη μείωση </w:t>
      </w:r>
    </w:p>
    <w:p w:rsidR="00D701C4" w:rsidRPr="00E034CB" w:rsidRDefault="00D701C4" w:rsidP="00742957">
      <w:pPr>
        <w:spacing w:after="0"/>
        <w:jc w:val="center"/>
        <w:rPr>
          <w:b/>
          <w:sz w:val="28"/>
          <w:szCs w:val="28"/>
        </w:rPr>
      </w:pPr>
      <w:r w:rsidRPr="00E034CB">
        <w:rPr>
          <w:rFonts w:cs="Arial"/>
          <w:b/>
          <w:sz w:val="28"/>
          <w:szCs w:val="28"/>
        </w:rPr>
        <w:t>της παρουσίας ωχρατοξινών στα σταφύλια, σταφίδες και κρασί</w:t>
      </w:r>
    </w:p>
    <w:p w:rsidR="003452C5" w:rsidRPr="00E034CB" w:rsidRDefault="003452C5" w:rsidP="00A24F34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154D81" w:rsidRDefault="00D701C4" w:rsidP="00154D81">
      <w:pPr>
        <w:spacing w:after="0"/>
        <w:jc w:val="center"/>
        <w:rPr>
          <w:b/>
          <w:sz w:val="24"/>
        </w:rPr>
      </w:pPr>
      <w:r w:rsidRPr="004D2911">
        <w:rPr>
          <w:b/>
          <w:sz w:val="24"/>
        </w:rPr>
        <w:t>Επιστ. Υπεύθυνος: Αν. Καθηγητής Δημήτρης Τσιτσιγιάννης, Εργ. Φυτοπαθολογίας</w:t>
      </w:r>
      <w:r w:rsidR="00154D81">
        <w:rPr>
          <w:b/>
          <w:sz w:val="24"/>
        </w:rPr>
        <w:t>, ΓΠΑ</w:t>
      </w:r>
      <w:r w:rsidRPr="004D2911">
        <w:rPr>
          <w:b/>
          <w:sz w:val="24"/>
        </w:rPr>
        <w:t xml:space="preserve"> </w:t>
      </w:r>
    </w:p>
    <w:p w:rsidR="00154D81" w:rsidRDefault="00D701C4" w:rsidP="00154D81">
      <w:pPr>
        <w:spacing w:after="0"/>
        <w:jc w:val="center"/>
        <w:rPr>
          <w:b/>
          <w:sz w:val="24"/>
        </w:rPr>
      </w:pPr>
      <w:r w:rsidRPr="004D2911">
        <w:rPr>
          <w:b/>
          <w:sz w:val="24"/>
        </w:rPr>
        <w:t xml:space="preserve">σε συνεργασία με τους Επικ. Καθηγητή Σπύρο Φουντά </w:t>
      </w:r>
      <w:r w:rsidR="00154D81" w:rsidRPr="004D2911">
        <w:rPr>
          <w:b/>
          <w:sz w:val="24"/>
        </w:rPr>
        <w:t>και</w:t>
      </w:r>
    </w:p>
    <w:p w:rsidR="0092795A" w:rsidRDefault="008447D0" w:rsidP="00154D81">
      <w:pPr>
        <w:spacing w:after="0"/>
        <w:jc w:val="center"/>
        <w:rPr>
          <w:b/>
          <w:sz w:val="24"/>
        </w:rPr>
      </w:pPr>
      <w:r w:rsidRPr="004D2911">
        <w:rPr>
          <w:b/>
          <w:sz w:val="24"/>
        </w:rPr>
        <w:t xml:space="preserve">Επικ. Καθηγητή </w:t>
      </w:r>
      <w:r w:rsidR="00D701C4" w:rsidRPr="004D2911">
        <w:rPr>
          <w:b/>
          <w:sz w:val="24"/>
        </w:rPr>
        <w:t>Γιώργο Ξανθόπουλο, Εργ. Γεωργικής Μηχανολογίας</w:t>
      </w:r>
      <w:r w:rsidR="00154D81">
        <w:rPr>
          <w:b/>
          <w:sz w:val="24"/>
        </w:rPr>
        <w:t>, ΓΠΑ</w:t>
      </w:r>
    </w:p>
    <w:p w:rsidR="00154D81" w:rsidRPr="004008EC" w:rsidRDefault="00154D81" w:rsidP="004008EC">
      <w:pPr>
        <w:jc w:val="center"/>
        <w:rPr>
          <w:b/>
          <w:sz w:val="24"/>
        </w:rPr>
      </w:pPr>
    </w:p>
    <w:p w:rsidR="00742957" w:rsidRPr="00E034CB" w:rsidRDefault="009E4FCF" w:rsidP="001925F9">
      <w:pPr>
        <w:spacing w:before="120" w:after="120"/>
        <w:ind w:firstLine="567"/>
        <w:jc w:val="both"/>
        <w:rPr>
          <w:sz w:val="24"/>
        </w:rPr>
      </w:pPr>
      <w:r>
        <w:rPr>
          <w:noProof/>
          <w:sz w:val="24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71755</wp:posOffset>
            </wp:positionV>
            <wp:extent cx="1621155" cy="1621155"/>
            <wp:effectExtent l="0" t="0" r="0" b="0"/>
            <wp:wrapSquare wrapText="bothSides"/>
            <wp:docPr id="4" name="Picture 1" descr="C:\Users\DIMITRIS\AppData\Local\Microsoft\Windows\Temporary Internet Files\Content.Word\OchraVine_Pixel_Transparent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\AppData\Local\Microsoft\Windows\Temporary Internet Files\Content.Word\OchraVine_Pixel_Transparent_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5A" w:rsidRPr="00E034CB">
        <w:rPr>
          <w:sz w:val="24"/>
        </w:rPr>
        <w:t xml:space="preserve">Το </w:t>
      </w:r>
      <w:r w:rsidR="0092795A" w:rsidRPr="00E034CB">
        <w:rPr>
          <w:i/>
          <w:sz w:val="24"/>
          <w:lang w:val="en-US"/>
        </w:rPr>
        <w:t>OchraVine</w:t>
      </w:r>
      <w:r w:rsidR="0092795A" w:rsidRPr="00E034CB">
        <w:rPr>
          <w:i/>
          <w:sz w:val="24"/>
        </w:rPr>
        <w:t xml:space="preserve"> </w:t>
      </w:r>
      <w:r w:rsidR="0092795A" w:rsidRPr="00E034CB">
        <w:rPr>
          <w:i/>
          <w:sz w:val="24"/>
          <w:lang w:val="en-US"/>
        </w:rPr>
        <w:t>Control</w:t>
      </w:r>
      <w:r w:rsidR="0092795A" w:rsidRPr="00E034CB">
        <w:rPr>
          <w:sz w:val="24"/>
        </w:rPr>
        <w:t xml:space="preserve"> είναι έργο του Ορίζοντα 2020 που αποσκοπεί στην αποτελεσματική αντιμετώπιση της εμφάνισης ωχρατοξινών στο αμπέλι (</w:t>
      </w:r>
      <w:r w:rsidR="0092795A" w:rsidRPr="00E034CB">
        <w:rPr>
          <w:rFonts w:cs="Arial"/>
          <w:sz w:val="24"/>
        </w:rPr>
        <w:t>σταφύλια, σταφίδες και κρασί</w:t>
      </w:r>
      <w:r w:rsidR="0092795A" w:rsidRPr="00E034CB">
        <w:rPr>
          <w:sz w:val="24"/>
        </w:rPr>
        <w:t>) μέσω μεθόδων γεωργίας ακριβείας.</w:t>
      </w:r>
      <w:r w:rsidR="00D17F27" w:rsidRPr="00E034CB">
        <w:rPr>
          <w:sz w:val="24"/>
        </w:rPr>
        <w:t xml:space="preserve"> </w:t>
      </w:r>
      <w:proofErr w:type="gramStart"/>
      <w:r w:rsidR="004008EC" w:rsidRPr="00E034CB">
        <w:rPr>
          <w:sz w:val="24"/>
          <w:lang w:val="en-GB"/>
        </w:rPr>
        <w:t>O</w:t>
      </w:r>
      <w:r w:rsidR="00742957" w:rsidRPr="00E034CB">
        <w:rPr>
          <w:sz w:val="24"/>
        </w:rPr>
        <w:t xml:space="preserve">ι ωχρατοξίνες </w:t>
      </w:r>
      <w:r w:rsidR="004008EC" w:rsidRPr="00E034CB">
        <w:rPr>
          <w:sz w:val="24"/>
        </w:rPr>
        <w:t xml:space="preserve">αποτελούν καρκινογόνες μυκοτοξίνες </w:t>
      </w:r>
      <w:r w:rsidR="00742957" w:rsidRPr="00E034CB">
        <w:rPr>
          <w:sz w:val="24"/>
        </w:rPr>
        <w:t xml:space="preserve">που παράγονται κυρίως από διάφορα είδη μυκήτων του γένους </w:t>
      </w:r>
      <w:r w:rsidR="00742957" w:rsidRPr="00E034CB">
        <w:rPr>
          <w:i/>
          <w:sz w:val="24"/>
        </w:rPr>
        <w:t>Aspergillus</w:t>
      </w:r>
      <w:r w:rsidR="00742957" w:rsidRPr="00E034CB">
        <w:rPr>
          <w:sz w:val="24"/>
        </w:rPr>
        <w:t xml:space="preserve"> και </w:t>
      </w:r>
      <w:r w:rsidR="00742957" w:rsidRPr="00E034CB">
        <w:rPr>
          <w:i/>
          <w:sz w:val="24"/>
        </w:rPr>
        <w:t>Penicillium</w:t>
      </w:r>
      <w:r w:rsidR="00742957" w:rsidRPr="00E034CB">
        <w:rPr>
          <w:sz w:val="24"/>
        </w:rPr>
        <w:t>.</w:t>
      </w:r>
      <w:proofErr w:type="gramEnd"/>
      <w:r w:rsidR="00742957" w:rsidRPr="00E034CB">
        <w:rPr>
          <w:sz w:val="24"/>
        </w:rPr>
        <w:t xml:space="preserve"> Πιο συγκεκριμένα, ο μύκητας </w:t>
      </w:r>
      <w:r w:rsidR="00742957" w:rsidRPr="00E034CB">
        <w:rPr>
          <w:i/>
          <w:sz w:val="24"/>
        </w:rPr>
        <w:t>Aspergillus carbonarius</w:t>
      </w:r>
      <w:r w:rsidR="00742957" w:rsidRPr="00E034CB">
        <w:rPr>
          <w:sz w:val="24"/>
        </w:rPr>
        <w:t xml:space="preserve"> είναι ένας από τους σημαντικότερους φυτοπαθογόνους μικροοργανισμούς που προσβάλλει την καλλιέργεια της αμπέλου, συμβάλλει στην ασθένεια της όξινης σήψης στα σταφύλια, και παράγει τη μυκοτοξίνη </w:t>
      </w:r>
      <w:r w:rsidR="00742957" w:rsidRPr="00E034CB">
        <w:rPr>
          <w:b/>
          <w:sz w:val="24"/>
        </w:rPr>
        <w:t>ωχρατοξίνη Α</w:t>
      </w:r>
      <w:r w:rsidR="00742957" w:rsidRPr="00E034CB">
        <w:rPr>
          <w:sz w:val="24"/>
        </w:rPr>
        <w:t xml:space="preserve"> (ΟΤΑ) </w:t>
      </w:r>
      <w:r w:rsidR="00742957" w:rsidRPr="00E034CB">
        <w:rPr>
          <w:b/>
          <w:sz w:val="24"/>
        </w:rPr>
        <w:t xml:space="preserve">επηρεάζοντας </w:t>
      </w:r>
      <w:r w:rsidR="00742957" w:rsidRPr="00E034CB">
        <w:rPr>
          <w:b/>
          <w:sz w:val="24"/>
        </w:rPr>
        <w:t>αρνητικά τα οργανοληπτικά χαρακτηριστικά του κρασιού και την ασφάλεια του καταναλωτή</w:t>
      </w:r>
      <w:r w:rsidR="00742957" w:rsidRPr="00E034CB">
        <w:rPr>
          <w:sz w:val="24"/>
        </w:rPr>
        <w:t>. H OTA έχει νεφροτοξικές, ηπατοτοξικές και καρκινογόνες (Class 2Β, ΙΑRC) ιδιότητες στα ζώα και στους ανθρώπους</w:t>
      </w:r>
      <w:r w:rsidR="00241077" w:rsidRPr="00241077">
        <w:rPr>
          <w:sz w:val="24"/>
        </w:rPr>
        <w:t>.</w:t>
      </w:r>
      <w:r w:rsidR="00742957" w:rsidRPr="00E034CB">
        <w:rPr>
          <w:sz w:val="24"/>
        </w:rPr>
        <w:t xml:space="preserve"> </w:t>
      </w:r>
      <w:r w:rsidR="00241077">
        <w:rPr>
          <w:sz w:val="24"/>
        </w:rPr>
        <w:t>Σ</w:t>
      </w:r>
      <w:r w:rsidR="00742957" w:rsidRPr="00E034CB">
        <w:rPr>
          <w:sz w:val="24"/>
        </w:rPr>
        <w:t xml:space="preserve">ύμφωνα με εκτιμήσεις της EE </w:t>
      </w:r>
      <w:r w:rsidR="00742957" w:rsidRPr="00E034CB">
        <w:rPr>
          <w:b/>
          <w:sz w:val="24"/>
        </w:rPr>
        <w:t>η κατανάλωση κρασιού συμβάλει κατά 13% στην πρόσληψη ΟTΑ από ανθρώπους</w:t>
      </w:r>
      <w:r w:rsidR="00742957" w:rsidRPr="00E034CB">
        <w:rPr>
          <w:sz w:val="24"/>
        </w:rPr>
        <w:t xml:space="preserve">. Οι πρώτες εκτιμήσεις της Επιτροπής του Κώδικα Διατροφής, βασισμένες σε ευρωπαϊκά στοιχεία, πρότειναν ότι το </w:t>
      </w:r>
      <w:r w:rsidR="00742957" w:rsidRPr="00E034CB">
        <w:rPr>
          <w:b/>
          <w:sz w:val="24"/>
        </w:rPr>
        <w:t>κόκκινο κρασί είναι η δεύτερη σημαντικότερη πηγή ανθρώπινης έκθεσης σε OTA</w:t>
      </w:r>
      <w:r w:rsidR="00742957" w:rsidRPr="00E034CB">
        <w:rPr>
          <w:sz w:val="24"/>
        </w:rPr>
        <w:t xml:space="preserve">, μετά από τα δημητριακά και ακολουθούν ο καφές και η μπύρα. </w:t>
      </w:r>
    </w:p>
    <w:p w:rsidR="00742957" w:rsidRPr="00E034CB" w:rsidRDefault="008C680E" w:rsidP="001925F9">
      <w:pPr>
        <w:spacing w:before="60" w:after="60"/>
        <w:ind w:firstLine="567"/>
        <w:jc w:val="both"/>
        <w:rPr>
          <w:sz w:val="24"/>
        </w:rPr>
      </w:pPr>
      <w:r w:rsidRPr="00E034CB">
        <w:rPr>
          <w:sz w:val="24"/>
        </w:rPr>
        <w:t>Το πρόγραμμα</w:t>
      </w:r>
      <w:r w:rsidR="00742957" w:rsidRPr="00E034CB">
        <w:rPr>
          <w:sz w:val="24"/>
        </w:rPr>
        <w:t xml:space="preserve"> στοχεύει στη δημιουργία ενός ευφυούς μοντέλου ολοκληρωμένης διαχείρισης και αντιμετώπισης της όξινης σήψης και της ΟΤΑ στην καλλιέργεια της αμπέλου με συνδυασμό βιολογικής και χημικής </w:t>
      </w:r>
      <w:r w:rsidR="00742957" w:rsidRPr="00E034CB">
        <w:rPr>
          <w:sz w:val="24"/>
        </w:rPr>
        <w:t xml:space="preserve">αντιμετώπισης των ωχρατοξικογόνων μυκήτων σε προ- και μετασυλλεκτικό επίπεδο. Πιο συγκεκριμένα, το </w:t>
      </w:r>
      <w:r w:rsidR="00241077">
        <w:rPr>
          <w:sz w:val="24"/>
        </w:rPr>
        <w:t>ερευνητικό έργο</w:t>
      </w:r>
      <w:r w:rsidR="00742957" w:rsidRPr="00E034CB">
        <w:rPr>
          <w:sz w:val="24"/>
        </w:rPr>
        <w:t xml:space="preserve"> αποσκοπεί στο να μελετηθεί </w:t>
      </w:r>
      <w:r w:rsidR="00742957" w:rsidRPr="00E034CB">
        <w:rPr>
          <w:sz w:val="24"/>
        </w:rPr>
        <w:t xml:space="preserve">η ασθένεια και η οικολογία των μυκήτων του γένους </w:t>
      </w:r>
      <w:r w:rsidR="00742957" w:rsidRPr="00E034CB">
        <w:rPr>
          <w:i/>
          <w:sz w:val="24"/>
        </w:rPr>
        <w:t>Aspergillus</w:t>
      </w:r>
      <w:r w:rsidR="00742957" w:rsidRPr="00E034CB">
        <w:rPr>
          <w:sz w:val="24"/>
        </w:rPr>
        <w:t xml:space="preserve"> στο αμπέλι σε συνδυασμό με τις περιβαλλοντικές συνθήκες και </w:t>
      </w:r>
      <w:r w:rsidR="002244C6" w:rsidRPr="00E034CB">
        <w:rPr>
          <w:sz w:val="24"/>
        </w:rPr>
        <w:t xml:space="preserve">τις </w:t>
      </w:r>
      <w:r w:rsidR="00742957" w:rsidRPr="00E034CB">
        <w:rPr>
          <w:sz w:val="24"/>
        </w:rPr>
        <w:lastRenderedPageBreak/>
        <w:t xml:space="preserve">καλλιεργητικές πρακτικές με συστήματα </w:t>
      </w:r>
      <w:r w:rsidR="00742957" w:rsidRPr="00E034CB">
        <w:rPr>
          <w:b/>
          <w:sz w:val="24"/>
        </w:rPr>
        <w:t>Γεωργίας Ακριβείας</w:t>
      </w:r>
      <w:r w:rsidR="00742957" w:rsidRPr="00E034CB">
        <w:rPr>
          <w:sz w:val="24"/>
        </w:rPr>
        <w:t xml:space="preserve"> και να αξιολογηθούν σύγχρονοι τρόποι </w:t>
      </w:r>
      <w:r w:rsidR="00742957" w:rsidRPr="00E034CB">
        <w:rPr>
          <w:b/>
          <w:sz w:val="24"/>
        </w:rPr>
        <w:t xml:space="preserve">ολοκληρωμένης </w:t>
      </w:r>
      <w:r w:rsidR="00742957" w:rsidRPr="00E034CB">
        <w:rPr>
          <w:b/>
          <w:sz w:val="24"/>
        </w:rPr>
        <w:t>διαχείρισής</w:t>
      </w:r>
      <w:r w:rsidR="00742957" w:rsidRPr="00E034CB">
        <w:rPr>
          <w:sz w:val="24"/>
        </w:rPr>
        <w:t xml:space="preserve"> τους με τη </w:t>
      </w:r>
      <w:r w:rsidR="002244C6" w:rsidRPr="00E034CB">
        <w:rPr>
          <w:sz w:val="24"/>
        </w:rPr>
        <w:t>συμβολή</w:t>
      </w:r>
      <w:r w:rsidR="00742957" w:rsidRPr="00E034CB">
        <w:rPr>
          <w:sz w:val="24"/>
        </w:rPr>
        <w:t xml:space="preserve"> </w:t>
      </w:r>
      <w:r w:rsidR="00742957" w:rsidRPr="00E034CB">
        <w:rPr>
          <w:b/>
          <w:sz w:val="24"/>
        </w:rPr>
        <w:t>χημικής, βιολογικής και γενετικής-μοριακής αντιμετώπισης</w:t>
      </w:r>
      <w:r w:rsidR="00742957" w:rsidRPr="00E034CB">
        <w:rPr>
          <w:sz w:val="24"/>
        </w:rPr>
        <w:t xml:space="preserve"> των υπεύθυνων μυκοτοξικογόνων μυκήτων. Μια τέτοια ολοκληρωμένη καινοτόμος μελέτη δεν έχει </w:t>
      </w:r>
      <w:r w:rsidR="00C1651D">
        <w:rPr>
          <w:sz w:val="24"/>
        </w:rPr>
        <w:t>διεξαχθεί</w:t>
      </w:r>
      <w:r w:rsidR="00C1651D" w:rsidRPr="00E034CB">
        <w:rPr>
          <w:sz w:val="24"/>
        </w:rPr>
        <w:t xml:space="preserve"> </w:t>
      </w:r>
      <w:r w:rsidR="00742957" w:rsidRPr="00E034CB">
        <w:rPr>
          <w:sz w:val="24"/>
        </w:rPr>
        <w:t>ποτέ σε παγκόσμι</w:t>
      </w:r>
      <w:r w:rsidR="004F06C1">
        <w:rPr>
          <w:sz w:val="24"/>
        </w:rPr>
        <w:t>ο</w:t>
      </w:r>
      <w:r w:rsidR="00742957" w:rsidRPr="00E034CB">
        <w:rPr>
          <w:sz w:val="24"/>
        </w:rPr>
        <w:t xml:space="preserve"> επίπεδο σε εκτεταμένη κλίμακα και θα συμβάλλει σημαντικά στην προώθηση της έρευνας σε μια σημαντική ασθένεια της αμπέλου</w:t>
      </w:r>
      <w:r w:rsidR="004F06C1">
        <w:rPr>
          <w:sz w:val="24"/>
        </w:rPr>
        <w:t>.</w:t>
      </w:r>
      <w:r w:rsidR="00742957" w:rsidRPr="00E034CB">
        <w:rPr>
          <w:sz w:val="24"/>
        </w:rPr>
        <w:t xml:space="preserve"> </w:t>
      </w:r>
      <w:r w:rsidR="004F06C1">
        <w:rPr>
          <w:sz w:val="24"/>
        </w:rPr>
        <w:t>Θ</w:t>
      </w:r>
      <w:r w:rsidR="00742957" w:rsidRPr="00E034CB">
        <w:rPr>
          <w:sz w:val="24"/>
        </w:rPr>
        <w:t xml:space="preserve">α συνεισφέρει στη μείωση του κινδύνου έκθεσης των καταναλωτών σε υψηλά επίπεδα ωχρατοξινών και θα οδηγήσει σε υψηλής ποιότητας και ασφάλειας σταφύλια, σταφίδες και κρασιά. </w:t>
      </w:r>
    </w:p>
    <w:p w:rsidR="00742957" w:rsidRPr="00E034CB" w:rsidRDefault="009E4FCF" w:rsidP="001925F9">
      <w:pPr>
        <w:spacing w:after="60"/>
        <w:ind w:firstLine="567"/>
        <w:jc w:val="both"/>
        <w:rPr>
          <w:sz w:val="24"/>
          <w:szCs w:val="20"/>
        </w:rPr>
      </w:pPr>
      <w:r>
        <w:rPr>
          <w:rFonts w:ascii="Arial Narrow" w:hAnsi="Arial Narrow"/>
          <w:noProof/>
          <w:sz w:val="24"/>
          <w:lang w:eastAsia="el-GR"/>
        </w:rPr>
        <w:drawing>
          <wp:anchor distT="0" distB="0" distL="114300" distR="114300" simplePos="0" relativeHeight="251657216" behindDoc="0" locked="0" layoutInCell="1" allowOverlap="1" wp14:anchorId="2BCB8EA4" wp14:editId="3B2BECB7">
            <wp:simplePos x="0" y="0"/>
            <wp:positionH relativeFrom="column">
              <wp:posOffset>4170045</wp:posOffset>
            </wp:positionH>
            <wp:positionV relativeFrom="paragraph">
              <wp:posOffset>14605</wp:posOffset>
            </wp:positionV>
            <wp:extent cx="1422400" cy="1915160"/>
            <wp:effectExtent l="0" t="0" r="6350" b="8890"/>
            <wp:wrapTight wrapText="bothSides">
              <wp:wrapPolygon edited="0">
                <wp:start x="0" y="0"/>
                <wp:lineTo x="0" y="21485"/>
                <wp:lineTo x="21407" y="21485"/>
                <wp:lineTo x="21407" y="0"/>
                <wp:lineTo x="0" y="0"/>
              </wp:wrapPolygon>
            </wp:wrapTight>
            <wp:docPr id="3" name="Εικόνα 5" descr="C:\Users\Maria\Downloads\IMG_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Users\Maria\Downloads\IMG_63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957" w:rsidRPr="00E034CB">
        <w:rPr>
          <w:sz w:val="24"/>
        </w:rPr>
        <w:t xml:space="preserve">Βασικός σκοπός του έργου είναι η </w:t>
      </w:r>
      <w:r w:rsidR="00742957" w:rsidRPr="00E034CB">
        <w:rPr>
          <w:b/>
          <w:sz w:val="24"/>
        </w:rPr>
        <w:t>σύνδεση της έρευνας και της καινοτομίας με την επιχειρηματικότητα και η ενίσχυση της ανταγωνιστικότητας, της παραγωγικότητας και της εξωστρέφειας των συμμετεχόντων επιχειρήσεων προς διεθνείς αγορές</w:t>
      </w:r>
      <w:r w:rsidR="00742957" w:rsidRPr="00E034CB">
        <w:rPr>
          <w:sz w:val="24"/>
        </w:rPr>
        <w:t xml:space="preserve">. Το έργο θα συμβάλλει στη μεταφορά </w:t>
      </w:r>
      <w:r w:rsidR="004F06C1">
        <w:rPr>
          <w:sz w:val="24"/>
        </w:rPr>
        <w:t xml:space="preserve">γνώσης, </w:t>
      </w:r>
      <w:r w:rsidR="00742957" w:rsidRPr="00E034CB">
        <w:rPr>
          <w:sz w:val="24"/>
        </w:rPr>
        <w:t>τεχνολογίας και συνεργασία πανεπιστημίων - επιχειρήσεων και θα συνεισφέρει στην άμεση και αποτελεσματική διοχέτευση διαθέσιμων πόρων για την προώθηση ερευνητικών δραστηριοτήτων και την εφαρμογή καινοτομιών σ</w:t>
      </w:r>
      <w:r w:rsidR="004F06C1">
        <w:rPr>
          <w:sz w:val="24"/>
        </w:rPr>
        <w:t xml:space="preserve">ε μικρομεσαίες επιχηρήσεις </w:t>
      </w:r>
      <w:r w:rsidR="00742957" w:rsidRPr="00E034CB">
        <w:rPr>
          <w:sz w:val="24"/>
        </w:rPr>
        <w:t xml:space="preserve"> </w:t>
      </w:r>
      <w:r w:rsidR="004F06C1">
        <w:rPr>
          <w:sz w:val="24"/>
        </w:rPr>
        <w:t>(</w:t>
      </w:r>
      <w:r w:rsidR="00742957" w:rsidRPr="00E034CB">
        <w:rPr>
          <w:sz w:val="24"/>
        </w:rPr>
        <w:t>ΜΜΕ</w:t>
      </w:r>
      <w:r w:rsidR="004F06C1">
        <w:rPr>
          <w:sz w:val="24"/>
        </w:rPr>
        <w:t>)</w:t>
      </w:r>
      <w:r w:rsidR="00742957" w:rsidRPr="00E034CB">
        <w:rPr>
          <w:sz w:val="24"/>
          <w:szCs w:val="20"/>
        </w:rPr>
        <w:t xml:space="preserve">. </w:t>
      </w:r>
    </w:p>
    <w:p w:rsidR="00742957" w:rsidRPr="00E034CB" w:rsidRDefault="00A24F34" w:rsidP="00924FDE">
      <w:pPr>
        <w:spacing w:after="60"/>
        <w:ind w:firstLine="567"/>
        <w:jc w:val="both"/>
        <w:rPr>
          <w:sz w:val="24"/>
          <w:u w:val="single"/>
        </w:rPr>
      </w:pPr>
      <w:r w:rsidRPr="00E034CB">
        <w:rPr>
          <w:sz w:val="24"/>
        </w:rPr>
        <w:t xml:space="preserve">Το έργο </w:t>
      </w:r>
      <w:r w:rsidRPr="00E034CB">
        <w:rPr>
          <w:i/>
          <w:sz w:val="24"/>
          <w:lang w:val="en-US"/>
        </w:rPr>
        <w:t>OchraVine</w:t>
      </w:r>
      <w:r w:rsidRPr="00E034CB">
        <w:rPr>
          <w:i/>
          <w:sz w:val="24"/>
        </w:rPr>
        <w:t xml:space="preserve"> </w:t>
      </w:r>
      <w:r w:rsidRPr="00E034CB">
        <w:rPr>
          <w:i/>
          <w:sz w:val="24"/>
          <w:lang w:val="en-US"/>
        </w:rPr>
        <w:t>Control</w:t>
      </w:r>
      <w:r w:rsidRPr="00E034CB">
        <w:rPr>
          <w:sz w:val="24"/>
        </w:rPr>
        <w:t xml:space="preserve"> θα υλοποιήσει μια καινοτόμο, ολοκληρωμένη και αειφόρο λύση βασισμένη σε νέες τεχνολογίες και πληθώρα περ</w:t>
      </w:r>
      <w:r w:rsidR="00BC0916" w:rsidRPr="00E034CB">
        <w:rPr>
          <w:sz w:val="24"/>
        </w:rPr>
        <w:t>ιβαλλοντικών και επιδημιολογικών</w:t>
      </w:r>
      <w:r w:rsidR="002244C6" w:rsidRPr="00E034CB">
        <w:rPr>
          <w:sz w:val="24"/>
        </w:rPr>
        <w:t xml:space="preserve"> </w:t>
      </w:r>
      <w:r w:rsidR="00BC0916" w:rsidRPr="00E034CB">
        <w:rPr>
          <w:sz w:val="24"/>
        </w:rPr>
        <w:t xml:space="preserve">δεδομένων </w:t>
      </w:r>
      <w:r w:rsidR="002244C6" w:rsidRPr="00E034CB">
        <w:rPr>
          <w:sz w:val="24"/>
        </w:rPr>
        <w:t xml:space="preserve">που </w:t>
      </w:r>
      <w:r w:rsidR="00742957" w:rsidRPr="00E034CB">
        <w:rPr>
          <w:rFonts w:cs="Tahoma"/>
          <w:bCs/>
          <w:sz w:val="24"/>
        </w:rPr>
        <w:t xml:space="preserve">θα πραγματοποιηθούν στα πλαίσια μιας </w:t>
      </w:r>
      <w:proofErr w:type="spellStart"/>
      <w:r w:rsidR="00742957" w:rsidRPr="00E034CB">
        <w:rPr>
          <w:rFonts w:cs="Tahoma"/>
          <w:sz w:val="24"/>
        </w:rPr>
        <w:t>πολυεπιστημονικής</w:t>
      </w:r>
      <w:proofErr w:type="spellEnd"/>
      <w:r w:rsidR="00742957" w:rsidRPr="00E034CB">
        <w:rPr>
          <w:rFonts w:cs="Tahoma"/>
          <w:sz w:val="24"/>
        </w:rPr>
        <w:t xml:space="preserve"> προσέγγισης</w:t>
      </w:r>
      <w:r w:rsidR="004F06C1">
        <w:rPr>
          <w:rFonts w:cs="Tahoma"/>
          <w:sz w:val="24"/>
        </w:rPr>
        <w:t>-</w:t>
      </w:r>
      <w:r w:rsidR="00742957" w:rsidRPr="00E034CB">
        <w:rPr>
          <w:rFonts w:cs="Tahoma"/>
          <w:sz w:val="24"/>
        </w:rPr>
        <w:t xml:space="preserve">συνεργασίας Ερευνητικών Φορέων και Επιχειρήσεων </w:t>
      </w:r>
      <w:r w:rsidR="00742957" w:rsidRPr="00E034CB">
        <w:rPr>
          <w:rFonts w:cs="Tahoma"/>
          <w:bCs/>
          <w:sz w:val="24"/>
        </w:rPr>
        <w:t>σύμφωνα με τους παρακάτω στόχους:</w:t>
      </w:r>
    </w:p>
    <w:p w:rsidR="007E645F" w:rsidRPr="00E034CB" w:rsidRDefault="00742957" w:rsidP="00BC0916">
      <w:pPr>
        <w:pStyle w:val="ListParagraph"/>
        <w:numPr>
          <w:ilvl w:val="0"/>
          <w:numId w:val="2"/>
        </w:numPr>
        <w:spacing w:before="60" w:after="60"/>
        <w:ind w:left="426" w:hanging="284"/>
        <w:jc w:val="both"/>
        <w:rPr>
          <w:rFonts w:cs="Tahoma"/>
          <w:sz w:val="24"/>
        </w:rPr>
      </w:pPr>
      <w:r w:rsidRPr="00E034CB">
        <w:rPr>
          <w:rFonts w:cs="Tahoma"/>
          <w:sz w:val="24"/>
        </w:rPr>
        <w:t xml:space="preserve">Ανάπτυξη </w:t>
      </w:r>
      <w:r w:rsidRPr="00E034CB">
        <w:rPr>
          <w:rFonts w:cs="Tahoma"/>
          <w:b/>
          <w:sz w:val="24"/>
        </w:rPr>
        <w:t>έξυπνων μ</w:t>
      </w:r>
      <w:r w:rsidR="007E645F" w:rsidRPr="00E034CB">
        <w:rPr>
          <w:rFonts w:cs="Tahoma"/>
          <w:b/>
          <w:sz w:val="24"/>
        </w:rPr>
        <w:t>εθόδων διάγνωσης</w:t>
      </w:r>
      <w:r w:rsidR="004F06C1">
        <w:rPr>
          <w:rFonts w:cs="Tahoma"/>
          <w:b/>
          <w:sz w:val="24"/>
        </w:rPr>
        <w:t xml:space="preserve"> και παρακολούθησης</w:t>
      </w:r>
      <w:r w:rsidR="007E645F" w:rsidRPr="00E034CB">
        <w:rPr>
          <w:rFonts w:cs="Tahoma"/>
          <w:b/>
          <w:sz w:val="24"/>
        </w:rPr>
        <w:t xml:space="preserve"> της ασθένειας</w:t>
      </w:r>
      <w:r w:rsidR="007E645F" w:rsidRPr="00E034CB">
        <w:rPr>
          <w:rFonts w:cs="Tahoma"/>
          <w:sz w:val="24"/>
        </w:rPr>
        <w:t xml:space="preserve"> </w:t>
      </w:r>
      <w:r w:rsidR="007E645F" w:rsidRPr="00E034CB">
        <w:rPr>
          <w:rFonts w:cs="Tahoma"/>
          <w:sz w:val="24"/>
        </w:rPr>
        <w:t>(</w:t>
      </w:r>
      <w:r w:rsidR="007E645F" w:rsidRPr="00E034CB">
        <w:rPr>
          <w:i/>
          <w:sz w:val="24"/>
        </w:rPr>
        <w:t>OchraSensor</w:t>
      </w:r>
      <w:r w:rsidR="007E645F" w:rsidRPr="00E034CB">
        <w:rPr>
          <w:rFonts w:cs="Tahoma"/>
          <w:sz w:val="24"/>
        </w:rPr>
        <w:t xml:space="preserve">) </w:t>
      </w:r>
      <w:r w:rsidRPr="00E034CB">
        <w:rPr>
          <w:rFonts w:cs="Tahoma"/>
          <w:sz w:val="24"/>
        </w:rPr>
        <w:t xml:space="preserve">και βελτιστοποίηση </w:t>
      </w:r>
      <w:r w:rsidRPr="00E034CB">
        <w:rPr>
          <w:rFonts w:cs="Tahoma"/>
          <w:b/>
          <w:sz w:val="24"/>
        </w:rPr>
        <w:t xml:space="preserve">μοντέλου πρόγνωσης όξινης σήψης και </w:t>
      </w:r>
      <w:r w:rsidR="00F4440A" w:rsidRPr="00E034CB">
        <w:rPr>
          <w:b/>
          <w:sz w:val="24"/>
        </w:rPr>
        <w:t>κινδύνου εμφάνισης ωχρατοξινών</w:t>
      </w:r>
      <w:r w:rsidR="00F4440A" w:rsidRPr="00E034CB">
        <w:rPr>
          <w:sz w:val="24"/>
        </w:rPr>
        <w:t xml:space="preserve"> </w:t>
      </w:r>
      <w:r w:rsidRPr="00E034CB">
        <w:rPr>
          <w:rFonts w:cs="Tahoma"/>
          <w:sz w:val="24"/>
        </w:rPr>
        <w:t>στα σταφύλι</w:t>
      </w:r>
      <w:r w:rsidR="007E645F" w:rsidRPr="00E034CB">
        <w:rPr>
          <w:rFonts w:cs="Tahoma"/>
          <w:sz w:val="24"/>
        </w:rPr>
        <w:t>α, στις σταφίδες και στο κρασί</w:t>
      </w:r>
      <w:r w:rsidR="00F4440A" w:rsidRPr="00E034CB">
        <w:rPr>
          <w:rFonts w:cs="Tahoma"/>
          <w:sz w:val="24"/>
        </w:rPr>
        <w:t xml:space="preserve"> (</w:t>
      </w:r>
      <w:r w:rsidR="00F4440A" w:rsidRPr="00E034CB">
        <w:rPr>
          <w:i/>
          <w:sz w:val="24"/>
        </w:rPr>
        <w:t>OchraRisk</w:t>
      </w:r>
      <w:r w:rsidR="00F4440A" w:rsidRPr="00E034CB">
        <w:rPr>
          <w:sz w:val="24"/>
        </w:rPr>
        <w:t xml:space="preserve"> και </w:t>
      </w:r>
      <w:r w:rsidR="00F4440A" w:rsidRPr="00E034CB">
        <w:rPr>
          <w:i/>
          <w:sz w:val="24"/>
        </w:rPr>
        <w:t>OchraDetect</w:t>
      </w:r>
      <w:r w:rsidR="00F4440A" w:rsidRPr="00E034CB">
        <w:rPr>
          <w:sz w:val="24"/>
        </w:rPr>
        <w:t>).</w:t>
      </w:r>
      <w:r w:rsidR="007E645F" w:rsidRPr="00E034CB">
        <w:rPr>
          <w:rFonts w:cs="Tahoma"/>
          <w:sz w:val="24"/>
        </w:rPr>
        <w:t xml:space="preserve"> </w:t>
      </w:r>
    </w:p>
    <w:p w:rsidR="00742957" w:rsidRPr="00E034CB" w:rsidRDefault="00742957" w:rsidP="00BC0916">
      <w:pPr>
        <w:pStyle w:val="ListParagraph"/>
        <w:numPr>
          <w:ilvl w:val="0"/>
          <w:numId w:val="2"/>
        </w:numPr>
        <w:spacing w:before="40" w:after="40"/>
        <w:ind w:left="426" w:hanging="284"/>
        <w:jc w:val="both"/>
        <w:rPr>
          <w:sz w:val="24"/>
        </w:rPr>
      </w:pPr>
      <w:r w:rsidRPr="00E034CB">
        <w:rPr>
          <w:rFonts w:cs="Tahoma"/>
          <w:b/>
          <w:sz w:val="24"/>
        </w:rPr>
        <w:t xml:space="preserve">Ολοκληρωμένη </w:t>
      </w:r>
      <w:r w:rsidRPr="00E034CB">
        <w:rPr>
          <w:rFonts w:cs="Tahoma"/>
          <w:b/>
          <w:bCs/>
          <w:sz w:val="24"/>
        </w:rPr>
        <w:t>διαχείριση</w:t>
      </w:r>
      <w:r w:rsidRPr="00E034CB">
        <w:rPr>
          <w:rFonts w:cs="Tahoma"/>
          <w:bCs/>
          <w:sz w:val="24"/>
        </w:rPr>
        <w:t xml:space="preserve"> των </w:t>
      </w:r>
      <w:r w:rsidRPr="00E034CB">
        <w:rPr>
          <w:rFonts w:cs="Tahoma"/>
          <w:sz w:val="24"/>
        </w:rPr>
        <w:t xml:space="preserve">μυκήτων του γένους </w:t>
      </w:r>
      <w:r w:rsidRPr="00E034CB">
        <w:rPr>
          <w:rFonts w:cs="Tahoma"/>
          <w:i/>
          <w:iCs/>
          <w:sz w:val="24"/>
        </w:rPr>
        <w:t xml:space="preserve">Aspergillus </w:t>
      </w:r>
      <w:r w:rsidRPr="00E034CB">
        <w:rPr>
          <w:rFonts w:cs="Tahoma"/>
          <w:iCs/>
          <w:sz w:val="24"/>
        </w:rPr>
        <w:t>και των</w:t>
      </w:r>
      <w:r w:rsidR="00F4440A" w:rsidRPr="00E034CB">
        <w:rPr>
          <w:rFonts w:cs="Tahoma"/>
          <w:iCs/>
          <w:sz w:val="24"/>
        </w:rPr>
        <w:t xml:space="preserve"> μυκοτοξινών που παράγουν με α) </w:t>
      </w:r>
      <w:r w:rsidRPr="00E034CB">
        <w:rPr>
          <w:rFonts w:cs="Tahoma"/>
          <w:iCs/>
          <w:sz w:val="24"/>
        </w:rPr>
        <w:t xml:space="preserve">χημικές </w:t>
      </w:r>
      <w:r w:rsidR="00F4440A" w:rsidRPr="00E034CB">
        <w:rPr>
          <w:rFonts w:cs="Tahoma"/>
          <w:sz w:val="24"/>
        </w:rPr>
        <w:t xml:space="preserve">β) </w:t>
      </w:r>
      <w:r w:rsidRPr="00E034CB">
        <w:rPr>
          <w:rFonts w:cs="Tahoma"/>
          <w:sz w:val="24"/>
        </w:rPr>
        <w:t xml:space="preserve">βιολογικές </w:t>
      </w:r>
      <w:r w:rsidR="00F4440A" w:rsidRPr="00E034CB">
        <w:rPr>
          <w:rFonts w:cs="Tahoma"/>
          <w:iCs/>
          <w:sz w:val="24"/>
        </w:rPr>
        <w:t xml:space="preserve">και γ) </w:t>
      </w:r>
      <w:r w:rsidRPr="00E034CB">
        <w:rPr>
          <w:rFonts w:cs="Tahoma"/>
          <w:iCs/>
          <w:sz w:val="24"/>
        </w:rPr>
        <w:t>γενετικές-μοριακές μεθόδους</w:t>
      </w:r>
      <w:r w:rsidR="00F4440A" w:rsidRPr="00E034CB">
        <w:rPr>
          <w:rFonts w:cs="Tahoma"/>
          <w:iCs/>
          <w:sz w:val="24"/>
        </w:rPr>
        <w:t xml:space="preserve"> (</w:t>
      </w:r>
      <w:r w:rsidR="00F4440A" w:rsidRPr="00E034CB">
        <w:rPr>
          <w:i/>
          <w:sz w:val="24"/>
        </w:rPr>
        <w:t>OchraRed</w:t>
      </w:r>
      <w:r w:rsidR="00F4440A" w:rsidRPr="00E034CB">
        <w:rPr>
          <w:sz w:val="24"/>
        </w:rPr>
        <w:t>)</w:t>
      </w:r>
      <w:r w:rsidR="007E645F" w:rsidRPr="00E034CB">
        <w:rPr>
          <w:rFonts w:cs="Tahoma"/>
          <w:sz w:val="24"/>
        </w:rPr>
        <w:t>.</w:t>
      </w:r>
    </w:p>
    <w:p w:rsidR="002244C6" w:rsidRPr="00E034CB" w:rsidRDefault="00742957" w:rsidP="00BC0916">
      <w:pPr>
        <w:pStyle w:val="ListParagraph"/>
        <w:numPr>
          <w:ilvl w:val="0"/>
          <w:numId w:val="2"/>
        </w:numPr>
        <w:shd w:val="clear" w:color="auto" w:fill="FFFFFF"/>
        <w:spacing w:before="40" w:after="40"/>
        <w:ind w:left="426" w:hanging="284"/>
        <w:jc w:val="both"/>
        <w:rPr>
          <w:rFonts w:cs="Tahoma"/>
          <w:iCs/>
          <w:sz w:val="24"/>
        </w:rPr>
      </w:pPr>
      <w:r w:rsidRPr="00E034CB">
        <w:rPr>
          <w:rFonts w:cs="Tahoma"/>
          <w:b/>
          <w:sz w:val="24"/>
        </w:rPr>
        <w:t xml:space="preserve">Μετασυλλεκτική </w:t>
      </w:r>
      <w:r w:rsidRPr="00E034CB">
        <w:rPr>
          <w:rFonts w:cs="Tahoma"/>
          <w:b/>
          <w:bCs/>
          <w:sz w:val="24"/>
        </w:rPr>
        <w:t>διαχείριση</w:t>
      </w:r>
      <w:r w:rsidRPr="00E034CB">
        <w:rPr>
          <w:rFonts w:cs="Tahoma"/>
          <w:bCs/>
          <w:sz w:val="24"/>
        </w:rPr>
        <w:t xml:space="preserve"> των </w:t>
      </w:r>
      <w:r w:rsidRPr="00E034CB">
        <w:rPr>
          <w:rFonts w:cs="Tahoma"/>
          <w:sz w:val="24"/>
        </w:rPr>
        <w:t xml:space="preserve">μυκήτων </w:t>
      </w:r>
      <w:r w:rsidR="007E645F" w:rsidRPr="00E034CB">
        <w:rPr>
          <w:rFonts w:cs="Tahoma"/>
          <w:sz w:val="24"/>
        </w:rPr>
        <w:t xml:space="preserve">του γένους </w:t>
      </w:r>
      <w:r w:rsidR="007E645F" w:rsidRPr="00E034CB">
        <w:rPr>
          <w:rFonts w:cs="Tahoma"/>
          <w:i/>
          <w:iCs/>
          <w:sz w:val="24"/>
        </w:rPr>
        <w:t xml:space="preserve">Aspergillus </w:t>
      </w:r>
      <w:r w:rsidR="007E645F" w:rsidRPr="00E034CB">
        <w:rPr>
          <w:rFonts w:cs="Tahoma"/>
          <w:sz w:val="24"/>
        </w:rPr>
        <w:t xml:space="preserve">και των ωχρατοξινών </w:t>
      </w:r>
      <w:r w:rsidRPr="00E034CB">
        <w:rPr>
          <w:rFonts w:cs="Tahoma"/>
          <w:iCs/>
          <w:sz w:val="24"/>
        </w:rPr>
        <w:t>σε σταφίδα και κρασί.</w:t>
      </w:r>
    </w:p>
    <w:p w:rsidR="00742957" w:rsidRPr="00E034CB" w:rsidRDefault="00742957" w:rsidP="00BC0916">
      <w:pPr>
        <w:pStyle w:val="ListParagraph"/>
        <w:numPr>
          <w:ilvl w:val="0"/>
          <w:numId w:val="2"/>
        </w:numPr>
        <w:shd w:val="clear" w:color="auto" w:fill="FFFFFF"/>
        <w:spacing w:before="40" w:after="120"/>
        <w:ind w:left="426" w:hanging="284"/>
        <w:jc w:val="both"/>
        <w:rPr>
          <w:rFonts w:cs="Tahoma"/>
          <w:iCs/>
          <w:sz w:val="24"/>
        </w:rPr>
      </w:pPr>
      <w:r w:rsidRPr="00E034CB">
        <w:rPr>
          <w:rFonts w:cs="Tahoma"/>
          <w:iCs/>
          <w:sz w:val="24"/>
        </w:rPr>
        <w:t>Ανάπτυξη σύγχρονου</w:t>
      </w:r>
      <w:r w:rsidRPr="00E034CB">
        <w:rPr>
          <w:rFonts w:cs="Tahoma"/>
          <w:b/>
          <w:iCs/>
          <w:sz w:val="24"/>
        </w:rPr>
        <w:t xml:space="preserve"> συστήματος υποστήριξης λήψης αποφάσεων</w:t>
      </w:r>
      <w:r w:rsidRPr="00E034CB">
        <w:rPr>
          <w:rFonts w:cs="Tahoma"/>
          <w:iCs/>
          <w:sz w:val="24"/>
        </w:rPr>
        <w:t xml:space="preserve"> (</w:t>
      </w:r>
      <w:r w:rsidRPr="00E034CB">
        <w:rPr>
          <w:rFonts w:cs="Tahoma"/>
          <w:iCs/>
          <w:sz w:val="24"/>
          <w:lang w:val="en-GB"/>
        </w:rPr>
        <w:t>Decision</w:t>
      </w:r>
      <w:r w:rsidRPr="00E034CB">
        <w:rPr>
          <w:rFonts w:cs="Tahoma"/>
          <w:iCs/>
          <w:sz w:val="24"/>
        </w:rPr>
        <w:t xml:space="preserve"> </w:t>
      </w:r>
      <w:r w:rsidRPr="00E034CB">
        <w:rPr>
          <w:rFonts w:cs="Tahoma"/>
          <w:iCs/>
          <w:sz w:val="24"/>
          <w:lang w:val="en-GB"/>
        </w:rPr>
        <w:t>Support</w:t>
      </w:r>
      <w:r w:rsidRPr="00E034CB">
        <w:rPr>
          <w:rFonts w:cs="Tahoma"/>
          <w:iCs/>
          <w:sz w:val="24"/>
        </w:rPr>
        <w:t xml:space="preserve"> </w:t>
      </w:r>
      <w:r w:rsidRPr="00E034CB">
        <w:rPr>
          <w:rFonts w:cs="Tahoma"/>
          <w:iCs/>
          <w:sz w:val="24"/>
          <w:lang w:val="en-GB"/>
        </w:rPr>
        <w:t>System</w:t>
      </w:r>
      <w:r w:rsidRPr="00E034CB">
        <w:rPr>
          <w:rFonts w:cs="Tahoma"/>
          <w:iCs/>
          <w:sz w:val="24"/>
        </w:rPr>
        <w:t xml:space="preserve">) </w:t>
      </w:r>
      <w:r w:rsidR="00F4440A" w:rsidRPr="00E034CB">
        <w:rPr>
          <w:sz w:val="24"/>
        </w:rPr>
        <w:t xml:space="preserve">σε πλατφόρμα ανοιχτής πρόσβασης </w:t>
      </w:r>
      <w:r w:rsidRPr="00E034CB">
        <w:rPr>
          <w:rFonts w:cs="Tahoma"/>
          <w:iCs/>
          <w:sz w:val="24"/>
        </w:rPr>
        <w:t>και εφαρμογή στον αγρό του ολοκληρωμένου συστήματος διαχείρισης (</w:t>
      </w:r>
      <w:r w:rsidR="002244C6" w:rsidRPr="00E034CB">
        <w:rPr>
          <w:i/>
          <w:sz w:val="24"/>
          <w:lang w:val="en-US"/>
        </w:rPr>
        <w:t>OchraVine</w:t>
      </w:r>
      <w:r w:rsidR="002244C6" w:rsidRPr="00E034CB">
        <w:rPr>
          <w:i/>
          <w:sz w:val="24"/>
        </w:rPr>
        <w:t xml:space="preserve"> </w:t>
      </w:r>
      <w:r w:rsidR="002244C6" w:rsidRPr="00E034CB">
        <w:rPr>
          <w:i/>
          <w:sz w:val="24"/>
          <w:lang w:val="en-US"/>
        </w:rPr>
        <w:t>Control</w:t>
      </w:r>
      <w:r w:rsidR="002244C6" w:rsidRPr="00E034CB">
        <w:rPr>
          <w:i/>
          <w:sz w:val="24"/>
        </w:rPr>
        <w:t xml:space="preserve"> </w:t>
      </w:r>
      <w:r w:rsidR="002244C6" w:rsidRPr="00E034CB">
        <w:rPr>
          <w:i/>
          <w:sz w:val="24"/>
          <w:lang w:val="en-US"/>
        </w:rPr>
        <w:t>DSS</w:t>
      </w:r>
      <w:r w:rsidRPr="00E034CB">
        <w:rPr>
          <w:sz w:val="24"/>
        </w:rPr>
        <w:t>).</w:t>
      </w:r>
    </w:p>
    <w:p w:rsidR="002F0C71" w:rsidRPr="00E034CB" w:rsidRDefault="00742957" w:rsidP="008447D0">
      <w:pPr>
        <w:spacing w:after="60"/>
        <w:ind w:firstLine="567"/>
        <w:jc w:val="both"/>
        <w:rPr>
          <w:color w:val="000000"/>
          <w:sz w:val="24"/>
        </w:rPr>
      </w:pPr>
      <w:r w:rsidRPr="00E034CB">
        <w:rPr>
          <w:sz w:val="24"/>
        </w:rPr>
        <w:t xml:space="preserve">Ο περιορισμός των απωλειών στην παραγωγή και η ενδεχόμενη μείωση της παρουσίας ωχρατοξινών στο σταφύλι και στα προϊόντα του θα συμβάλλει στην αύξηση του κέρδους των οινοπαραγωγών και σταφιδοπαραγωγών και στην παραγωγή </w:t>
      </w:r>
      <w:r w:rsidRPr="00E034CB">
        <w:rPr>
          <w:color w:val="000000"/>
          <w:sz w:val="24"/>
        </w:rPr>
        <w:t>ποιοτικών προϊόντων υψηλής αγροδιατροφικής αξίας</w:t>
      </w:r>
      <w:r w:rsidRPr="00E034CB">
        <w:rPr>
          <w:sz w:val="24"/>
        </w:rPr>
        <w:t xml:space="preserve"> με προστιθέμενη αξία και με αύξηση της </w:t>
      </w:r>
      <w:r w:rsidRPr="00E034CB">
        <w:rPr>
          <w:sz w:val="24"/>
        </w:rPr>
        <w:lastRenderedPageBreak/>
        <w:t xml:space="preserve">ανταγωνιστικότητας και της εμπορικότητάς τους στην ελληνική και διεθνή αγορά </w:t>
      </w:r>
      <w:r w:rsidRPr="00E034CB">
        <w:rPr>
          <w:color w:val="000000"/>
          <w:sz w:val="24"/>
        </w:rPr>
        <w:t>διασφαλίζοντας παράλληλα την υγεία του καταναλωτή.</w:t>
      </w:r>
    </w:p>
    <w:p w:rsidR="00E034CB" w:rsidRPr="00E034CB" w:rsidRDefault="008447D0" w:rsidP="00E034CB">
      <w:pPr>
        <w:spacing w:after="120"/>
        <w:ind w:firstLine="567"/>
        <w:jc w:val="both"/>
        <w:rPr>
          <w:sz w:val="24"/>
        </w:rPr>
      </w:pPr>
      <w:r w:rsidRPr="00E034CB">
        <w:rPr>
          <w:sz w:val="24"/>
        </w:rPr>
        <w:t>Ο προϋπολογισμός του έργου είναι 1.183.500</w:t>
      </w:r>
      <w:r w:rsidRPr="00E034CB">
        <w:rPr>
          <w:rFonts w:cs="Calibri"/>
          <w:sz w:val="24"/>
        </w:rPr>
        <w:t>€ και η διάρκεια του τέσσερα έτη (</w:t>
      </w:r>
      <w:r w:rsidRPr="00E034CB">
        <w:rPr>
          <w:sz w:val="24"/>
        </w:rPr>
        <w:t>2018-2021).</w:t>
      </w:r>
      <w:r w:rsidRPr="00E034CB">
        <w:rPr>
          <w:b/>
          <w:sz w:val="24"/>
        </w:rPr>
        <w:t xml:space="preserve"> </w:t>
      </w:r>
      <w:r w:rsidR="002F0C71" w:rsidRPr="00E034CB">
        <w:rPr>
          <w:color w:val="000000"/>
          <w:sz w:val="24"/>
        </w:rPr>
        <w:t xml:space="preserve">Ο συντονισμός του έργου θα γίνει από το ΓΠΑ, ενώ στην ερευνητική ομάδα συμμετέχουν ιδιαίτερα αναγνωρισμένα Ευρωπαϊκά Πανεπιστήμια και Ινστιτούτα του εξωτερικού, όπως το </w:t>
      </w:r>
      <w:proofErr w:type="spellStart"/>
      <w:r w:rsidR="002F0C71" w:rsidRPr="00E034CB">
        <w:rPr>
          <w:color w:val="000000"/>
          <w:sz w:val="24"/>
          <w:lang w:val="en-GB"/>
        </w:rPr>
        <w:t>Universita</w:t>
      </w:r>
      <w:proofErr w:type="spellEnd"/>
      <w:r w:rsidR="002F0C71" w:rsidRPr="00E034CB">
        <w:rPr>
          <w:color w:val="000000"/>
          <w:sz w:val="24"/>
        </w:rPr>
        <w:t xml:space="preserve"> </w:t>
      </w:r>
      <w:proofErr w:type="spellStart"/>
      <w:r w:rsidR="002F0C71" w:rsidRPr="00E034CB">
        <w:rPr>
          <w:color w:val="000000"/>
          <w:sz w:val="24"/>
          <w:lang w:val="en-GB"/>
        </w:rPr>
        <w:t>Cattolica</w:t>
      </w:r>
      <w:proofErr w:type="spellEnd"/>
      <w:r w:rsidR="002F0C71" w:rsidRPr="00E034CB">
        <w:rPr>
          <w:color w:val="000000"/>
          <w:sz w:val="24"/>
        </w:rPr>
        <w:t xml:space="preserve"> </w:t>
      </w:r>
      <w:r w:rsidR="002F0C71" w:rsidRPr="00E034CB">
        <w:rPr>
          <w:color w:val="000000"/>
          <w:sz w:val="24"/>
          <w:lang w:val="en-GB"/>
        </w:rPr>
        <w:t>Del</w:t>
      </w:r>
      <w:r w:rsidR="002F0C71" w:rsidRPr="00E034CB">
        <w:rPr>
          <w:color w:val="000000"/>
          <w:sz w:val="24"/>
        </w:rPr>
        <w:t xml:space="preserve"> </w:t>
      </w:r>
      <w:proofErr w:type="spellStart"/>
      <w:r w:rsidR="002F0C71" w:rsidRPr="00E034CB">
        <w:rPr>
          <w:color w:val="000000"/>
          <w:sz w:val="24"/>
          <w:lang w:val="en-GB"/>
        </w:rPr>
        <w:t>Sacro</w:t>
      </w:r>
      <w:proofErr w:type="spellEnd"/>
      <w:r w:rsidR="002F0C71" w:rsidRPr="00E034CB">
        <w:rPr>
          <w:color w:val="000000"/>
          <w:sz w:val="24"/>
        </w:rPr>
        <w:t xml:space="preserve"> </w:t>
      </w:r>
      <w:proofErr w:type="spellStart"/>
      <w:r w:rsidR="002F0C71" w:rsidRPr="00E034CB">
        <w:rPr>
          <w:color w:val="000000"/>
          <w:sz w:val="24"/>
          <w:lang w:val="en-GB"/>
        </w:rPr>
        <w:t>Cuore</w:t>
      </w:r>
      <w:proofErr w:type="spellEnd"/>
      <w:r w:rsidR="002F0C71" w:rsidRPr="00E034CB">
        <w:rPr>
          <w:color w:val="000000"/>
          <w:sz w:val="24"/>
        </w:rPr>
        <w:t xml:space="preserve"> (Ιταλία), το </w:t>
      </w:r>
      <w:proofErr w:type="spellStart"/>
      <w:r w:rsidR="002F0C71" w:rsidRPr="00E034CB">
        <w:rPr>
          <w:color w:val="000000"/>
          <w:sz w:val="24"/>
          <w:lang w:val="en-US"/>
        </w:rPr>
        <w:t>Institut</w:t>
      </w:r>
      <w:proofErr w:type="spellEnd"/>
      <w:r w:rsidR="002F0C71" w:rsidRPr="00E034CB">
        <w:rPr>
          <w:color w:val="000000"/>
          <w:sz w:val="24"/>
        </w:rPr>
        <w:t xml:space="preserve"> </w:t>
      </w:r>
      <w:r w:rsidR="002F0C71" w:rsidRPr="00E034CB">
        <w:rPr>
          <w:color w:val="000000"/>
          <w:sz w:val="24"/>
          <w:lang w:val="en-US"/>
        </w:rPr>
        <w:t>National</w:t>
      </w:r>
      <w:r w:rsidR="002F0C71" w:rsidRPr="00E034CB">
        <w:rPr>
          <w:color w:val="000000"/>
          <w:sz w:val="24"/>
        </w:rPr>
        <w:t xml:space="preserve"> </w:t>
      </w:r>
      <w:r w:rsidR="002F0C71" w:rsidRPr="00E034CB">
        <w:rPr>
          <w:color w:val="000000"/>
          <w:sz w:val="24"/>
          <w:lang w:val="en-US"/>
        </w:rPr>
        <w:t>D</w:t>
      </w:r>
      <w:r w:rsidR="002F0C71" w:rsidRPr="00E034CB">
        <w:rPr>
          <w:color w:val="000000"/>
          <w:sz w:val="24"/>
        </w:rPr>
        <w:t xml:space="preserve">' </w:t>
      </w:r>
      <w:r w:rsidR="002F0C71" w:rsidRPr="00E034CB">
        <w:rPr>
          <w:color w:val="000000"/>
          <w:sz w:val="24"/>
          <w:lang w:val="en-US"/>
        </w:rPr>
        <w:t>Etudes</w:t>
      </w:r>
      <w:r w:rsidR="002F0C71" w:rsidRPr="00E034CB">
        <w:rPr>
          <w:color w:val="000000"/>
          <w:sz w:val="24"/>
        </w:rPr>
        <w:t xml:space="preserve"> </w:t>
      </w:r>
      <w:proofErr w:type="spellStart"/>
      <w:r w:rsidR="002F0C71" w:rsidRPr="00E034CB">
        <w:rPr>
          <w:color w:val="000000"/>
          <w:sz w:val="24"/>
          <w:lang w:val="en-US"/>
        </w:rPr>
        <w:t>Superieures</w:t>
      </w:r>
      <w:proofErr w:type="spellEnd"/>
      <w:r w:rsidR="002F0C71" w:rsidRPr="00E034CB">
        <w:rPr>
          <w:color w:val="000000"/>
          <w:sz w:val="24"/>
        </w:rPr>
        <w:t xml:space="preserve"> </w:t>
      </w:r>
      <w:proofErr w:type="spellStart"/>
      <w:r w:rsidR="002F0C71" w:rsidRPr="00E034CB">
        <w:rPr>
          <w:color w:val="000000"/>
          <w:sz w:val="24"/>
          <w:lang w:val="en-US"/>
        </w:rPr>
        <w:t>Agronomiques</w:t>
      </w:r>
      <w:proofErr w:type="spellEnd"/>
      <w:r w:rsidR="002F0C71" w:rsidRPr="00E034CB">
        <w:rPr>
          <w:color w:val="000000"/>
          <w:sz w:val="24"/>
        </w:rPr>
        <w:t xml:space="preserve"> </w:t>
      </w:r>
      <w:r w:rsidR="002F0C71" w:rsidRPr="00E034CB">
        <w:rPr>
          <w:color w:val="000000"/>
          <w:sz w:val="24"/>
          <w:lang w:val="en-US"/>
        </w:rPr>
        <w:t>De</w:t>
      </w:r>
      <w:r w:rsidR="002F0C71" w:rsidRPr="00E034CB">
        <w:rPr>
          <w:color w:val="000000"/>
          <w:sz w:val="24"/>
        </w:rPr>
        <w:t xml:space="preserve"> </w:t>
      </w:r>
      <w:r w:rsidR="002F0C71" w:rsidRPr="00E034CB">
        <w:rPr>
          <w:color w:val="000000"/>
          <w:sz w:val="24"/>
          <w:lang w:val="en-US"/>
        </w:rPr>
        <w:t>Montpellier</w:t>
      </w:r>
      <w:r w:rsidR="002F0C71" w:rsidRPr="00E034CB">
        <w:rPr>
          <w:color w:val="000000"/>
          <w:sz w:val="24"/>
        </w:rPr>
        <w:t xml:space="preserve"> (</w:t>
      </w:r>
      <w:r w:rsidR="002F0C71" w:rsidRPr="00E034CB">
        <w:rPr>
          <w:color w:val="000000"/>
          <w:sz w:val="24"/>
          <w:lang w:val="en-US"/>
        </w:rPr>
        <w:t>SUPAGRO</w:t>
      </w:r>
      <w:r w:rsidR="002F0C71" w:rsidRPr="00E034CB">
        <w:rPr>
          <w:color w:val="000000"/>
          <w:sz w:val="24"/>
        </w:rPr>
        <w:t xml:space="preserve">) και το </w:t>
      </w:r>
      <w:r w:rsidR="002F0C71" w:rsidRPr="00E034CB">
        <w:rPr>
          <w:color w:val="000000"/>
          <w:sz w:val="24"/>
          <w:lang w:val="en-GB"/>
        </w:rPr>
        <w:t>IRSTEA</w:t>
      </w:r>
      <w:r w:rsidR="002F0C71" w:rsidRPr="00E034CB">
        <w:rPr>
          <w:color w:val="000000"/>
          <w:sz w:val="24"/>
        </w:rPr>
        <w:t xml:space="preserve"> (Γαλλία) ενώ συμμετέχουν </w:t>
      </w:r>
      <w:r w:rsidRPr="00E034CB">
        <w:rPr>
          <w:color w:val="000000"/>
          <w:sz w:val="24"/>
        </w:rPr>
        <w:t>πέντε</w:t>
      </w:r>
      <w:r w:rsidR="002F0C71" w:rsidRPr="00E034CB">
        <w:rPr>
          <w:color w:val="000000"/>
          <w:sz w:val="24"/>
        </w:rPr>
        <w:t xml:space="preserve"> </w:t>
      </w:r>
      <w:r w:rsidR="00A602E0" w:rsidRPr="00E034CB">
        <w:rPr>
          <w:color w:val="000000"/>
          <w:sz w:val="24"/>
        </w:rPr>
        <w:t xml:space="preserve">καινοτόμες </w:t>
      </w:r>
      <w:r w:rsidR="002F0C71" w:rsidRPr="00E034CB">
        <w:rPr>
          <w:color w:val="000000"/>
          <w:sz w:val="24"/>
        </w:rPr>
        <w:t>ιδιωτικές εταιρείες</w:t>
      </w:r>
      <w:r w:rsidRPr="00E034CB">
        <w:rPr>
          <w:color w:val="000000"/>
          <w:sz w:val="24"/>
        </w:rPr>
        <w:t xml:space="preserve">, η </w:t>
      </w:r>
      <w:r w:rsidRPr="00E034CB">
        <w:rPr>
          <w:color w:val="000000"/>
          <w:sz w:val="24"/>
          <w:lang w:val="en-GB"/>
        </w:rPr>
        <w:t>Q</w:t>
      </w:r>
      <w:r w:rsidRPr="00E034CB">
        <w:rPr>
          <w:color w:val="000000"/>
          <w:sz w:val="24"/>
        </w:rPr>
        <w:t xml:space="preserve"> </w:t>
      </w:r>
      <w:r w:rsidRPr="00E034CB">
        <w:rPr>
          <w:color w:val="000000"/>
          <w:sz w:val="24"/>
          <w:lang w:val="en-GB"/>
        </w:rPr>
        <w:t>Technologies</w:t>
      </w:r>
      <w:r w:rsidR="00C55612">
        <w:rPr>
          <w:color w:val="000000"/>
          <w:sz w:val="24"/>
        </w:rPr>
        <w:t xml:space="preserve"> </w:t>
      </w:r>
      <w:r w:rsidR="00C55612">
        <w:rPr>
          <w:color w:val="000000"/>
          <w:sz w:val="24"/>
          <w:lang w:val="en-GB"/>
        </w:rPr>
        <w:t>Ltd</w:t>
      </w:r>
      <w:r w:rsidRPr="00E034CB">
        <w:rPr>
          <w:color w:val="000000"/>
          <w:sz w:val="24"/>
        </w:rPr>
        <w:t xml:space="preserve"> και η </w:t>
      </w:r>
      <w:r w:rsidRPr="00E034CB">
        <w:rPr>
          <w:color w:val="000000"/>
          <w:sz w:val="24"/>
          <w:lang w:val="en-GB"/>
        </w:rPr>
        <w:t>KPAD</w:t>
      </w:r>
      <w:r w:rsidR="00C55612" w:rsidRPr="00C55612">
        <w:rPr>
          <w:color w:val="000000"/>
          <w:sz w:val="24"/>
        </w:rPr>
        <w:t xml:space="preserve"> </w:t>
      </w:r>
      <w:r w:rsidR="00C55612">
        <w:rPr>
          <w:color w:val="000000"/>
          <w:sz w:val="24"/>
          <w:lang w:val="en-GB"/>
        </w:rPr>
        <w:t>Ltd</w:t>
      </w:r>
      <w:r w:rsidRPr="00E034CB">
        <w:rPr>
          <w:color w:val="000000"/>
          <w:sz w:val="24"/>
        </w:rPr>
        <w:t xml:space="preserve"> από Αγγλία, η </w:t>
      </w:r>
      <w:r w:rsidRPr="00E034CB">
        <w:rPr>
          <w:color w:val="000000"/>
          <w:sz w:val="24"/>
          <w:lang w:val="en-GB"/>
        </w:rPr>
        <w:t>M</w:t>
      </w:r>
      <w:r w:rsidRPr="00E034CB">
        <w:rPr>
          <w:color w:val="000000"/>
          <w:sz w:val="24"/>
        </w:rPr>
        <w:t>2</w:t>
      </w:r>
      <w:r w:rsidRPr="00E034CB">
        <w:rPr>
          <w:color w:val="000000"/>
          <w:sz w:val="24"/>
          <w:lang w:val="en-GB"/>
        </w:rPr>
        <w:t>S</w:t>
      </w:r>
      <w:r w:rsidRPr="00E034CB">
        <w:rPr>
          <w:color w:val="000000"/>
          <w:sz w:val="24"/>
        </w:rPr>
        <w:t xml:space="preserve"> (</w:t>
      </w:r>
      <w:r w:rsidRPr="00E034CB">
        <w:rPr>
          <w:color w:val="000000"/>
          <w:sz w:val="24"/>
          <w:lang w:val="en-GB"/>
        </w:rPr>
        <w:t>ENEO</w:t>
      </w:r>
      <w:r w:rsidRPr="00E034CB">
        <w:rPr>
          <w:color w:val="000000"/>
          <w:sz w:val="24"/>
        </w:rPr>
        <w:t xml:space="preserve">) από </w:t>
      </w:r>
      <w:r w:rsidR="00A602E0" w:rsidRPr="00E034CB">
        <w:rPr>
          <w:color w:val="000000"/>
          <w:sz w:val="24"/>
        </w:rPr>
        <w:t>Γαλλία</w:t>
      </w:r>
      <w:r w:rsidRPr="00E034CB">
        <w:rPr>
          <w:color w:val="000000"/>
          <w:sz w:val="24"/>
        </w:rPr>
        <w:t xml:space="preserve"> καθώς και η </w:t>
      </w:r>
      <w:r w:rsidRPr="00E034CB">
        <w:rPr>
          <w:color w:val="000000"/>
          <w:sz w:val="24"/>
          <w:lang w:val="en-GB"/>
        </w:rPr>
        <w:t>Agricultural</w:t>
      </w:r>
      <w:r w:rsidRPr="00E034CB">
        <w:rPr>
          <w:color w:val="000000"/>
          <w:sz w:val="24"/>
        </w:rPr>
        <w:t xml:space="preserve"> &amp; </w:t>
      </w:r>
      <w:r w:rsidRPr="00E034CB">
        <w:rPr>
          <w:color w:val="000000"/>
          <w:sz w:val="24"/>
          <w:lang w:val="en-GB"/>
        </w:rPr>
        <w:t>Environmental</w:t>
      </w:r>
      <w:r w:rsidRPr="00E034CB">
        <w:rPr>
          <w:color w:val="000000"/>
          <w:sz w:val="24"/>
        </w:rPr>
        <w:t xml:space="preserve"> </w:t>
      </w:r>
      <w:r w:rsidRPr="00E034CB">
        <w:rPr>
          <w:color w:val="000000"/>
          <w:sz w:val="24"/>
          <w:lang w:val="en-GB"/>
        </w:rPr>
        <w:t>Solutions</w:t>
      </w:r>
      <w:r w:rsidRPr="00E034CB">
        <w:rPr>
          <w:color w:val="000000"/>
          <w:sz w:val="24"/>
        </w:rPr>
        <w:t xml:space="preserve"> (</w:t>
      </w:r>
      <w:r w:rsidRPr="00E034CB">
        <w:rPr>
          <w:color w:val="000000"/>
          <w:sz w:val="24"/>
          <w:lang w:val="en-GB"/>
        </w:rPr>
        <w:t>AGENSO</w:t>
      </w:r>
      <w:r w:rsidRPr="00E034CB">
        <w:rPr>
          <w:color w:val="000000"/>
          <w:sz w:val="24"/>
        </w:rPr>
        <w:t xml:space="preserve">) </w:t>
      </w:r>
      <w:r w:rsidRPr="00E034CB">
        <w:rPr>
          <w:sz w:val="24"/>
        </w:rPr>
        <w:t xml:space="preserve">και η </w:t>
      </w:r>
      <w:r w:rsidR="0049790C" w:rsidRPr="00E034CB">
        <w:rPr>
          <w:sz w:val="24"/>
          <w:lang w:val="en-US"/>
        </w:rPr>
        <w:t>NEUROPUBLIC</w:t>
      </w:r>
      <w:r w:rsidR="0049790C" w:rsidRPr="00E034CB">
        <w:rPr>
          <w:sz w:val="24"/>
        </w:rPr>
        <w:t xml:space="preserve"> </w:t>
      </w:r>
      <w:r w:rsidRPr="00E034CB">
        <w:rPr>
          <w:sz w:val="24"/>
        </w:rPr>
        <w:t>από Ελλάδα.</w:t>
      </w:r>
    </w:p>
    <w:p w:rsidR="008447D0" w:rsidRPr="00E034CB" w:rsidRDefault="00A24F34" w:rsidP="008447D0">
      <w:pPr>
        <w:ind w:firstLine="567"/>
        <w:jc w:val="both"/>
        <w:rPr>
          <w:sz w:val="24"/>
        </w:rPr>
      </w:pPr>
      <w:bookmarkStart w:id="0" w:name="_GoBack"/>
      <w:bookmarkEnd w:id="0"/>
      <w:r w:rsidRPr="00E034CB">
        <w:rPr>
          <w:sz w:val="24"/>
        </w:rPr>
        <w:t>Περισσότερες πληροφορίες:</w:t>
      </w:r>
      <w:r w:rsidRPr="00E034CB">
        <w:rPr>
          <w:sz w:val="24"/>
          <w:lang w:val="en-US"/>
        </w:rPr>
        <w:t> </w:t>
      </w:r>
      <w:hyperlink r:id="rId11" w:history="1">
        <w:r w:rsidRPr="00E034CB">
          <w:rPr>
            <w:rStyle w:val="Hyperlink"/>
            <w:sz w:val="24"/>
          </w:rPr>
          <w:t>https://cordis.europa.eu/project/rcn/213013_en.html</w:t>
        </w:r>
      </w:hyperlink>
      <w:r w:rsidRPr="00E034CB">
        <w:rPr>
          <w:sz w:val="24"/>
        </w:rPr>
        <w:t xml:space="preserve"> </w:t>
      </w:r>
      <w:r w:rsidR="008447D0" w:rsidRPr="00E034CB">
        <w:rPr>
          <w:sz w:val="24"/>
        </w:rPr>
        <w:t xml:space="preserve"> </w:t>
      </w:r>
    </w:p>
    <w:p w:rsidR="00BC0916" w:rsidRPr="00E034CB" w:rsidRDefault="009E4FCF" w:rsidP="008447D0">
      <w:pPr>
        <w:ind w:firstLine="567"/>
        <w:jc w:val="both"/>
        <w:rPr>
          <w:sz w:val="24"/>
        </w:rPr>
      </w:pPr>
      <w:r>
        <w:rPr>
          <w:noProof/>
          <w:sz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173355</wp:posOffset>
            </wp:positionV>
            <wp:extent cx="1009650" cy="673100"/>
            <wp:effectExtent l="0" t="0" r="0" b="0"/>
            <wp:wrapTight wrapText="bothSides">
              <wp:wrapPolygon edited="0">
                <wp:start x="0" y="0"/>
                <wp:lineTo x="0" y="20785"/>
                <wp:lineTo x="21192" y="20785"/>
                <wp:lineTo x="21192" y="0"/>
                <wp:lineTo x="0" y="0"/>
              </wp:wrapPolygon>
            </wp:wrapTight>
            <wp:docPr id="2" name="Picture 10" descr="The European Flag â the 12 stars in a circle symbolise the ideals of unity, solidarity and harmony among the peoples of Eur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European Flag â the 12 stars in a circle symbolise the ideals of unity, solidarity and harmony among the peoples of Europ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957" w:rsidRPr="00E034CB" w:rsidRDefault="00A24F34" w:rsidP="008447D0">
      <w:pPr>
        <w:spacing w:after="0"/>
        <w:jc w:val="both"/>
        <w:rPr>
          <w:sz w:val="24"/>
        </w:rPr>
      </w:pPr>
      <w:r w:rsidRPr="00E034CB">
        <w:rPr>
          <w:sz w:val="24"/>
        </w:rPr>
        <w:t>Με τη συγχρηματοδότηση του προγράμματος</w:t>
      </w:r>
      <w:r w:rsidR="00A602E0" w:rsidRPr="00E034CB">
        <w:rPr>
          <w:sz w:val="24"/>
        </w:rPr>
        <w:t xml:space="preserve"> </w:t>
      </w:r>
      <w:r w:rsidRPr="00E034CB">
        <w:rPr>
          <w:sz w:val="24"/>
        </w:rPr>
        <w:t>-</w:t>
      </w:r>
      <w:r w:rsidR="00A602E0" w:rsidRPr="00E034CB">
        <w:rPr>
          <w:sz w:val="24"/>
        </w:rPr>
        <w:t xml:space="preserve"> </w:t>
      </w:r>
      <w:r w:rsidRPr="00E034CB">
        <w:rPr>
          <w:sz w:val="24"/>
        </w:rPr>
        <w:t xml:space="preserve">πλαισίου της Ευρωπαϊκής Ένωσης  «Ορίζοντας 2020» με αριθμό </w:t>
      </w:r>
      <w:r w:rsidR="008447D0" w:rsidRPr="00E034CB">
        <w:rPr>
          <w:sz w:val="24"/>
        </w:rPr>
        <w:t>σύμβασης</w:t>
      </w:r>
      <w:r w:rsidRPr="00E034CB">
        <w:rPr>
          <w:sz w:val="24"/>
        </w:rPr>
        <w:t xml:space="preserve"> 778219</w:t>
      </w:r>
      <w:r w:rsidR="008447D0" w:rsidRPr="00E034CB">
        <w:rPr>
          <w:sz w:val="24"/>
        </w:rPr>
        <w:t>.</w:t>
      </w:r>
    </w:p>
    <w:sectPr w:rsidR="00742957" w:rsidRPr="00E034CB" w:rsidSect="008447D0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DF" w:rsidRDefault="002A48DF" w:rsidP="006E3533">
      <w:pPr>
        <w:spacing w:after="0" w:line="240" w:lineRule="auto"/>
      </w:pPr>
      <w:r>
        <w:separator/>
      </w:r>
    </w:p>
  </w:endnote>
  <w:endnote w:type="continuationSeparator" w:id="0">
    <w:p w:rsidR="002A48DF" w:rsidRDefault="002A48DF" w:rsidP="006E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DF" w:rsidRDefault="002A48DF" w:rsidP="006E3533">
      <w:pPr>
        <w:spacing w:after="0" w:line="240" w:lineRule="auto"/>
      </w:pPr>
      <w:r>
        <w:separator/>
      </w:r>
    </w:p>
  </w:footnote>
  <w:footnote w:type="continuationSeparator" w:id="0">
    <w:p w:rsidR="002A48DF" w:rsidRDefault="002A48DF" w:rsidP="006E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1CA"/>
    <w:multiLevelType w:val="hybridMultilevel"/>
    <w:tmpl w:val="77B0024E"/>
    <w:lvl w:ilvl="0" w:tplc="C774692E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F9037B"/>
    <w:multiLevelType w:val="hybridMultilevel"/>
    <w:tmpl w:val="30D48100"/>
    <w:lvl w:ilvl="0" w:tplc="CDCCA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56"/>
    <w:rsid w:val="00014D11"/>
    <w:rsid w:val="001522C3"/>
    <w:rsid w:val="00154D81"/>
    <w:rsid w:val="0016206C"/>
    <w:rsid w:val="001925F9"/>
    <w:rsid w:val="001E1755"/>
    <w:rsid w:val="002244C6"/>
    <w:rsid w:val="00240948"/>
    <w:rsid w:val="00241077"/>
    <w:rsid w:val="002A48DF"/>
    <w:rsid w:val="002F0C71"/>
    <w:rsid w:val="003452C5"/>
    <w:rsid w:val="003A1DDE"/>
    <w:rsid w:val="004008EC"/>
    <w:rsid w:val="00426AE3"/>
    <w:rsid w:val="0049790C"/>
    <w:rsid w:val="004D2911"/>
    <w:rsid w:val="004F06C1"/>
    <w:rsid w:val="005D50E5"/>
    <w:rsid w:val="0063614C"/>
    <w:rsid w:val="00663D2D"/>
    <w:rsid w:val="00674F9E"/>
    <w:rsid w:val="006901C5"/>
    <w:rsid w:val="00692565"/>
    <w:rsid w:val="006E3533"/>
    <w:rsid w:val="007035CF"/>
    <w:rsid w:val="00742957"/>
    <w:rsid w:val="00753439"/>
    <w:rsid w:val="007E645F"/>
    <w:rsid w:val="008241AB"/>
    <w:rsid w:val="008447D0"/>
    <w:rsid w:val="008C680E"/>
    <w:rsid w:val="00924FDE"/>
    <w:rsid w:val="0092795A"/>
    <w:rsid w:val="009416AC"/>
    <w:rsid w:val="00955B98"/>
    <w:rsid w:val="009C4290"/>
    <w:rsid w:val="009E4FCF"/>
    <w:rsid w:val="00A24F34"/>
    <w:rsid w:val="00A37C9E"/>
    <w:rsid w:val="00A5338B"/>
    <w:rsid w:val="00A602E0"/>
    <w:rsid w:val="00A638B4"/>
    <w:rsid w:val="00B2069C"/>
    <w:rsid w:val="00B404C3"/>
    <w:rsid w:val="00B50256"/>
    <w:rsid w:val="00BC0916"/>
    <w:rsid w:val="00C1651D"/>
    <w:rsid w:val="00C55612"/>
    <w:rsid w:val="00C56CE9"/>
    <w:rsid w:val="00C65D2D"/>
    <w:rsid w:val="00C867E3"/>
    <w:rsid w:val="00D17F27"/>
    <w:rsid w:val="00D701C4"/>
    <w:rsid w:val="00DF7528"/>
    <w:rsid w:val="00E034CB"/>
    <w:rsid w:val="00F4440A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33"/>
  </w:style>
  <w:style w:type="paragraph" w:styleId="Footer">
    <w:name w:val="footer"/>
    <w:basedOn w:val="Normal"/>
    <w:link w:val="FooterChar"/>
    <w:uiPriority w:val="99"/>
    <w:unhideWhenUsed/>
    <w:rsid w:val="006E3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33"/>
  </w:style>
  <w:style w:type="paragraph" w:styleId="BalloonText">
    <w:name w:val="Balloon Text"/>
    <w:basedOn w:val="Normal"/>
    <w:link w:val="BalloonTextChar"/>
    <w:uiPriority w:val="99"/>
    <w:semiHidden/>
    <w:unhideWhenUsed/>
    <w:rsid w:val="006E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9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33"/>
  </w:style>
  <w:style w:type="paragraph" w:styleId="Footer">
    <w:name w:val="footer"/>
    <w:basedOn w:val="Normal"/>
    <w:link w:val="FooterChar"/>
    <w:uiPriority w:val="99"/>
    <w:unhideWhenUsed/>
    <w:rsid w:val="006E3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33"/>
  </w:style>
  <w:style w:type="paragraph" w:styleId="BalloonText">
    <w:name w:val="Balloon Text"/>
    <w:basedOn w:val="Normal"/>
    <w:link w:val="BalloonTextChar"/>
    <w:uiPriority w:val="99"/>
    <w:semiHidden/>
    <w:unhideWhenUsed/>
    <w:rsid w:val="006E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9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rdis.europa.eu/project/rcn/213013_en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Links>
    <vt:vector size="6" baseType="variant"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https://cordis.europa.eu/project/rcn/213013_en.html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Dimitris</cp:lastModifiedBy>
  <cp:revision>3</cp:revision>
  <dcterms:created xsi:type="dcterms:W3CDTF">2018-04-27T08:47:00Z</dcterms:created>
  <dcterms:modified xsi:type="dcterms:W3CDTF">2018-04-27T08:51:00Z</dcterms:modified>
</cp:coreProperties>
</file>