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83" w:rsidRPr="00176880" w:rsidRDefault="00EF5D83" w:rsidP="00176880">
      <w:pPr>
        <w:pStyle w:val="Heading1"/>
        <w:spacing w:before="0" w:after="0" w:line="240" w:lineRule="auto"/>
        <w:rPr>
          <w:rFonts w:ascii="Calibri" w:hAnsi="Calibri"/>
          <w:b w:val="0"/>
          <w:sz w:val="20"/>
          <w:lang w:val="el-GR"/>
        </w:rPr>
      </w:pPr>
      <w:r w:rsidRPr="00176880">
        <w:rPr>
          <w:rFonts w:ascii="Calibri" w:hAnsi="Calibri"/>
          <w:b w:val="0"/>
          <w:sz w:val="20"/>
          <w:lang w:val="el-GR"/>
        </w:rPr>
        <w:t>ΕΛΛΗΝΙΚΗ ΔΗΜΟΚΡΑΤΙΑ</w:t>
      </w:r>
    </w:p>
    <w:p w:rsidR="00EF5D83" w:rsidRPr="00176880" w:rsidRDefault="00EF5D83" w:rsidP="00176880">
      <w:pPr>
        <w:spacing w:after="0" w:line="240" w:lineRule="auto"/>
        <w:ind w:firstLine="851"/>
        <w:rPr>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3.3pt;margin-top:6pt;width:47.2pt;height:45pt;z-index:251658240;visibility:visible">
            <v:imagedata r:id="rId7" o:title=""/>
            <w10:wrap type="square"/>
          </v:shape>
        </w:pict>
      </w:r>
    </w:p>
    <w:p w:rsidR="00EF5D83" w:rsidRPr="00176880" w:rsidRDefault="00EF5D83" w:rsidP="00176880">
      <w:pPr>
        <w:spacing w:after="0" w:line="240" w:lineRule="auto"/>
        <w:rPr>
          <w:b/>
          <w:lang w:val="el-GR"/>
        </w:rPr>
      </w:pPr>
    </w:p>
    <w:p w:rsidR="00EF5D83" w:rsidRPr="00176880" w:rsidRDefault="00EF5D83" w:rsidP="00176880">
      <w:pPr>
        <w:tabs>
          <w:tab w:val="left" w:pos="2127"/>
        </w:tabs>
        <w:spacing w:after="0" w:line="240" w:lineRule="auto"/>
        <w:rPr>
          <w:b/>
          <w:lang w:val="el-GR"/>
        </w:rPr>
      </w:pPr>
    </w:p>
    <w:p w:rsidR="00EF5D83" w:rsidRPr="00176880" w:rsidRDefault="00EF5D83" w:rsidP="00176880">
      <w:pPr>
        <w:tabs>
          <w:tab w:val="left" w:pos="2127"/>
        </w:tabs>
        <w:spacing w:after="0" w:line="240" w:lineRule="auto"/>
        <w:rPr>
          <w:b/>
          <w:lang w:val="el-GR"/>
        </w:rPr>
      </w:pPr>
    </w:p>
    <w:p w:rsidR="00EF5D83" w:rsidRPr="00B71A29" w:rsidRDefault="00EF5D83" w:rsidP="00176880">
      <w:pPr>
        <w:tabs>
          <w:tab w:val="left" w:pos="2127"/>
        </w:tabs>
        <w:spacing w:after="0" w:line="240" w:lineRule="auto"/>
        <w:rPr>
          <w:b/>
          <w:sz w:val="20"/>
          <w:szCs w:val="20"/>
          <w:lang w:val="el-GR"/>
        </w:rPr>
      </w:pPr>
      <w:r>
        <w:rPr>
          <w:b/>
          <w:sz w:val="20"/>
          <w:szCs w:val="20"/>
          <w:lang w:val="el-GR"/>
        </w:rPr>
        <w:t xml:space="preserve">ΓΕΩΠΟΝΙΚΟ </w:t>
      </w:r>
      <w:r w:rsidRPr="00B71A29">
        <w:rPr>
          <w:b/>
          <w:sz w:val="20"/>
          <w:szCs w:val="20"/>
          <w:lang w:val="el-GR"/>
        </w:rPr>
        <w:t>ΠΑΝΕΠΙΣΤΗΜΙΟ ΑΘΗΝΩΝ</w:t>
      </w:r>
    </w:p>
    <w:p w:rsidR="00EF5D83" w:rsidRPr="00B71A29" w:rsidRDefault="00EF5D83" w:rsidP="00176880">
      <w:pPr>
        <w:tabs>
          <w:tab w:val="left" w:pos="2127"/>
        </w:tabs>
        <w:spacing w:after="0" w:line="240" w:lineRule="auto"/>
        <w:rPr>
          <w:b/>
          <w:sz w:val="20"/>
          <w:szCs w:val="20"/>
          <w:lang w:val="el-GR"/>
        </w:rPr>
      </w:pPr>
      <w:r w:rsidRPr="00B71A29">
        <w:rPr>
          <w:b/>
          <w:sz w:val="20"/>
          <w:szCs w:val="20"/>
          <w:lang w:val="el-GR"/>
        </w:rPr>
        <w:t>ΤΜΗΜΑ ΔΙΕΘΝΩΝ &amp; ΔΗΜΟΣΙΩΝ ΣΧΕΣΕΩΝ</w:t>
      </w:r>
    </w:p>
    <w:p w:rsidR="00EF5D83" w:rsidRPr="00B71A29" w:rsidRDefault="00EF5D83" w:rsidP="00176880">
      <w:pPr>
        <w:spacing w:after="0" w:line="240" w:lineRule="auto"/>
        <w:rPr>
          <w:sz w:val="20"/>
          <w:szCs w:val="20"/>
          <w:lang w:val="el-GR"/>
        </w:rPr>
      </w:pPr>
      <w:r w:rsidRPr="00B71A29">
        <w:rPr>
          <w:sz w:val="20"/>
          <w:szCs w:val="20"/>
          <w:lang w:val="el-GR"/>
        </w:rPr>
        <w:t>Ιερά Οδός 75, 118 55, Αθήνα</w:t>
      </w:r>
    </w:p>
    <w:p w:rsidR="00EF5D83" w:rsidRPr="00B71A29" w:rsidRDefault="00EF5D83" w:rsidP="00176880">
      <w:pPr>
        <w:spacing w:after="0" w:line="240" w:lineRule="auto"/>
        <w:rPr>
          <w:sz w:val="20"/>
          <w:szCs w:val="20"/>
          <w:lang w:val="el-GR"/>
        </w:rPr>
      </w:pPr>
      <w:r w:rsidRPr="00B71A29">
        <w:rPr>
          <w:sz w:val="20"/>
          <w:szCs w:val="20"/>
          <w:lang w:val="el-GR"/>
        </w:rPr>
        <w:t>Πληροροφορίες: Αγγελική Ματσούκη</w:t>
      </w:r>
    </w:p>
    <w:p w:rsidR="00EF5D83" w:rsidRPr="00B71A29" w:rsidRDefault="00EF5D83" w:rsidP="00176880">
      <w:pPr>
        <w:spacing w:after="0" w:line="240" w:lineRule="auto"/>
        <w:rPr>
          <w:sz w:val="20"/>
          <w:szCs w:val="20"/>
          <w:lang w:val="el-GR"/>
        </w:rPr>
      </w:pPr>
      <w:r w:rsidRPr="00B71A29">
        <w:rPr>
          <w:sz w:val="20"/>
          <w:szCs w:val="20"/>
          <w:lang w:val="en-US"/>
        </w:rPr>
        <w:t>T</w:t>
      </w:r>
      <w:r w:rsidRPr="00B71A29">
        <w:rPr>
          <w:sz w:val="20"/>
          <w:szCs w:val="20"/>
          <w:lang w:val="el-GR"/>
        </w:rPr>
        <w:t>ηλ.: 210.52948444</w:t>
      </w:r>
    </w:p>
    <w:p w:rsidR="00EF5D83" w:rsidRPr="00B71A29" w:rsidRDefault="00EF5D83" w:rsidP="00176880">
      <w:pPr>
        <w:spacing w:after="0" w:line="240" w:lineRule="auto"/>
        <w:rPr>
          <w:sz w:val="20"/>
          <w:szCs w:val="20"/>
          <w:lang w:val="el-GR"/>
        </w:rPr>
      </w:pPr>
      <w:r w:rsidRPr="00B71A29">
        <w:rPr>
          <w:sz w:val="20"/>
          <w:szCs w:val="20"/>
          <w:lang w:val="en-US"/>
        </w:rPr>
        <w:t>FAX</w:t>
      </w:r>
      <w:r w:rsidRPr="00B71A29">
        <w:rPr>
          <w:sz w:val="20"/>
          <w:szCs w:val="20"/>
          <w:lang w:val="el-GR"/>
        </w:rPr>
        <w:t xml:space="preserve">: 210-5294820  </w:t>
      </w:r>
    </w:p>
    <w:p w:rsidR="00EF5D83" w:rsidRPr="00B71A29" w:rsidRDefault="00EF5D83" w:rsidP="00176880">
      <w:pPr>
        <w:spacing w:after="0" w:line="240" w:lineRule="auto"/>
        <w:rPr>
          <w:sz w:val="20"/>
          <w:szCs w:val="20"/>
          <w:lang w:val="el-GR"/>
        </w:rPr>
      </w:pPr>
      <w:r w:rsidRPr="00B71A29">
        <w:rPr>
          <w:sz w:val="20"/>
          <w:szCs w:val="20"/>
          <w:lang w:val="el-GR"/>
        </w:rPr>
        <w:t xml:space="preserve">Διεύθυνση ηλεκτρονικού ταχυδρομείου: </w:t>
      </w:r>
    </w:p>
    <w:p w:rsidR="00EF5D83" w:rsidRPr="00B71A29" w:rsidRDefault="00EF5D83" w:rsidP="00176880">
      <w:pPr>
        <w:spacing w:after="0" w:line="240" w:lineRule="auto"/>
        <w:rPr>
          <w:sz w:val="20"/>
          <w:szCs w:val="20"/>
          <w:lang w:val="el-GR"/>
        </w:rPr>
      </w:pPr>
      <w:hyperlink r:id="rId8" w:history="1">
        <w:r w:rsidRPr="00B71A29">
          <w:rPr>
            <w:rStyle w:val="Hyperlink"/>
            <w:sz w:val="20"/>
            <w:szCs w:val="20"/>
            <w:lang w:val="en-US"/>
          </w:rPr>
          <w:t>angeliki</w:t>
        </w:r>
        <w:r w:rsidRPr="00B71A29">
          <w:rPr>
            <w:rStyle w:val="Hyperlink"/>
            <w:sz w:val="20"/>
            <w:szCs w:val="20"/>
            <w:lang w:val="el-GR"/>
          </w:rPr>
          <w:t>@</w:t>
        </w:r>
        <w:r w:rsidRPr="00B71A29">
          <w:rPr>
            <w:rStyle w:val="Hyperlink"/>
            <w:sz w:val="20"/>
            <w:szCs w:val="20"/>
            <w:lang w:val="en-US"/>
          </w:rPr>
          <w:t>aua</w:t>
        </w:r>
        <w:r w:rsidRPr="00B71A29">
          <w:rPr>
            <w:rStyle w:val="Hyperlink"/>
            <w:sz w:val="20"/>
            <w:szCs w:val="20"/>
            <w:lang w:val="el-GR"/>
          </w:rPr>
          <w:t>.</w:t>
        </w:r>
        <w:r w:rsidRPr="00B71A29">
          <w:rPr>
            <w:rStyle w:val="Hyperlink"/>
            <w:sz w:val="20"/>
            <w:szCs w:val="20"/>
            <w:lang w:val="en-US"/>
          </w:rPr>
          <w:t>gr</w:t>
        </w:r>
      </w:hyperlink>
      <w:r w:rsidRPr="00B71A29">
        <w:rPr>
          <w:sz w:val="20"/>
          <w:szCs w:val="20"/>
          <w:lang w:val="el-GR"/>
        </w:rPr>
        <w:t xml:space="preserve">; </w:t>
      </w:r>
      <w:hyperlink r:id="rId9" w:history="1">
        <w:r w:rsidRPr="00B71A29">
          <w:rPr>
            <w:rStyle w:val="Hyperlink"/>
            <w:sz w:val="20"/>
            <w:szCs w:val="20"/>
            <w:lang w:val="en-US"/>
          </w:rPr>
          <w:t>public</w:t>
        </w:r>
        <w:r w:rsidRPr="00B71A29">
          <w:rPr>
            <w:rStyle w:val="Hyperlink"/>
            <w:sz w:val="20"/>
            <w:szCs w:val="20"/>
            <w:lang w:val="el-GR"/>
          </w:rPr>
          <w:t>.</w:t>
        </w:r>
        <w:r w:rsidRPr="00B71A29">
          <w:rPr>
            <w:rStyle w:val="Hyperlink"/>
            <w:sz w:val="20"/>
            <w:szCs w:val="20"/>
            <w:lang w:val="en-US"/>
          </w:rPr>
          <w:t>relations</w:t>
        </w:r>
        <w:r w:rsidRPr="00B71A29">
          <w:rPr>
            <w:rStyle w:val="Hyperlink"/>
            <w:sz w:val="20"/>
            <w:szCs w:val="20"/>
            <w:lang w:val="el-GR"/>
          </w:rPr>
          <w:t>@</w:t>
        </w:r>
        <w:r w:rsidRPr="00B71A29">
          <w:rPr>
            <w:rStyle w:val="Hyperlink"/>
            <w:sz w:val="20"/>
            <w:szCs w:val="20"/>
            <w:lang w:val="en-US"/>
          </w:rPr>
          <w:t>aua</w:t>
        </w:r>
        <w:r w:rsidRPr="00B71A29">
          <w:rPr>
            <w:rStyle w:val="Hyperlink"/>
            <w:sz w:val="20"/>
            <w:szCs w:val="20"/>
            <w:lang w:val="el-GR"/>
          </w:rPr>
          <w:t>.</w:t>
        </w:r>
        <w:r w:rsidRPr="00B71A29">
          <w:rPr>
            <w:rStyle w:val="Hyperlink"/>
            <w:sz w:val="20"/>
            <w:szCs w:val="20"/>
            <w:lang w:val="en-US"/>
          </w:rPr>
          <w:t>gr</w:t>
        </w:r>
      </w:hyperlink>
    </w:p>
    <w:p w:rsidR="00EF5D83" w:rsidRPr="00B71A29" w:rsidRDefault="00EF5D83" w:rsidP="00176880">
      <w:pPr>
        <w:spacing w:after="0" w:line="240" w:lineRule="auto"/>
        <w:rPr>
          <w:lang w:val="el-GR"/>
        </w:rPr>
      </w:pPr>
      <w:r w:rsidRPr="00B71A29">
        <w:rPr>
          <w:sz w:val="20"/>
          <w:szCs w:val="20"/>
          <w:lang w:val="el-GR"/>
        </w:rPr>
        <w:tab/>
      </w:r>
      <w:r w:rsidRPr="00B71A29">
        <w:rPr>
          <w:sz w:val="20"/>
          <w:szCs w:val="20"/>
          <w:lang w:val="el-GR"/>
        </w:rPr>
        <w:tab/>
      </w:r>
      <w:r w:rsidRPr="00B71A29">
        <w:rPr>
          <w:sz w:val="20"/>
          <w:szCs w:val="20"/>
          <w:lang w:val="el-GR"/>
        </w:rPr>
        <w:tab/>
      </w:r>
      <w:r w:rsidRPr="00B71A29">
        <w:rPr>
          <w:sz w:val="20"/>
          <w:szCs w:val="20"/>
          <w:lang w:val="el-GR"/>
        </w:rPr>
        <w:tab/>
      </w:r>
      <w:r w:rsidRPr="00B71A29">
        <w:rPr>
          <w:sz w:val="20"/>
          <w:szCs w:val="20"/>
          <w:lang w:val="el-GR"/>
        </w:rPr>
        <w:tab/>
      </w:r>
      <w:r w:rsidRPr="00B71A29">
        <w:rPr>
          <w:sz w:val="20"/>
          <w:szCs w:val="20"/>
          <w:lang w:val="el-GR"/>
        </w:rPr>
        <w:tab/>
      </w:r>
      <w:r>
        <w:rPr>
          <w:sz w:val="20"/>
          <w:szCs w:val="20"/>
          <w:lang w:val="el-GR"/>
        </w:rPr>
        <w:tab/>
      </w:r>
      <w:r w:rsidRPr="00B71A29">
        <w:rPr>
          <w:sz w:val="20"/>
          <w:szCs w:val="20"/>
          <w:lang w:val="el-GR"/>
        </w:rPr>
        <w:tab/>
      </w:r>
      <w:r w:rsidRPr="00B71A29">
        <w:rPr>
          <w:sz w:val="20"/>
          <w:szCs w:val="20"/>
          <w:lang w:val="el-GR"/>
        </w:rPr>
        <w:tab/>
      </w:r>
      <w:r w:rsidRPr="00B71A29">
        <w:rPr>
          <w:lang w:val="el-GR"/>
        </w:rPr>
        <w:t>Αθήνα, 12.10.2017</w:t>
      </w:r>
    </w:p>
    <w:p w:rsidR="00EF5D83" w:rsidRPr="00B71A29" w:rsidRDefault="00EF5D83" w:rsidP="00176880">
      <w:pPr>
        <w:spacing w:after="0" w:line="240" w:lineRule="auto"/>
        <w:jc w:val="both"/>
        <w:rPr>
          <w:lang w:val="el-GR"/>
        </w:rPr>
      </w:pPr>
    </w:p>
    <w:p w:rsidR="00EF5D83" w:rsidRPr="00B71A29" w:rsidRDefault="00EF5D83" w:rsidP="00176880">
      <w:pPr>
        <w:spacing w:after="0" w:line="240" w:lineRule="auto"/>
        <w:jc w:val="center"/>
        <w:rPr>
          <w:rFonts w:ascii="Arial" w:hAnsi="Arial" w:cs="Arial"/>
          <w:b/>
          <w:u w:val="single"/>
          <w:lang w:val="el-GR"/>
        </w:rPr>
      </w:pPr>
      <w:r w:rsidRPr="00B71A29">
        <w:rPr>
          <w:rFonts w:ascii="Arial" w:hAnsi="Arial" w:cs="Arial"/>
          <w:b/>
          <w:u w:val="single"/>
          <w:lang w:val="el-GR"/>
        </w:rPr>
        <w:t>ΔΕΛΤΙΟ ΤΥΠΟΥ</w:t>
      </w:r>
    </w:p>
    <w:p w:rsidR="00EF5D83" w:rsidRPr="00B71A29" w:rsidRDefault="00EF5D83" w:rsidP="00176880">
      <w:pPr>
        <w:spacing w:after="0" w:line="240" w:lineRule="auto"/>
        <w:jc w:val="both"/>
        <w:rPr>
          <w:rFonts w:ascii="Arial" w:hAnsi="Arial" w:cs="Arial"/>
          <w:b/>
          <w:i/>
          <w:lang w:val="el-GR"/>
        </w:rPr>
      </w:pPr>
    </w:p>
    <w:p w:rsidR="00EF5D83" w:rsidRPr="00B71A29" w:rsidRDefault="00EF5D83" w:rsidP="00176880">
      <w:pPr>
        <w:jc w:val="both"/>
        <w:rPr>
          <w:rFonts w:ascii="Arial" w:hAnsi="Arial" w:cs="Arial"/>
          <w:i/>
          <w:lang w:val="el-GR"/>
        </w:rPr>
      </w:pPr>
      <w:r w:rsidRPr="00B71A29">
        <w:rPr>
          <w:rFonts w:ascii="Arial" w:hAnsi="Arial" w:cs="Arial"/>
          <w:b/>
          <w:i/>
          <w:lang w:val="el-GR"/>
        </w:rPr>
        <w:t xml:space="preserve">Θέμα: </w:t>
      </w:r>
      <w:r w:rsidRPr="00B71A29">
        <w:rPr>
          <w:rFonts w:ascii="Arial" w:hAnsi="Arial" w:cs="Arial"/>
          <w:lang w:val="el-GR"/>
        </w:rPr>
        <w:t>«</w:t>
      </w:r>
      <w:r w:rsidRPr="00B71A29">
        <w:rPr>
          <w:rFonts w:cs="Calibri"/>
          <w:b/>
          <w:lang w:val="el-GR"/>
        </w:rPr>
        <w:t xml:space="preserve">Δεκαπλασιασμός της παιδικής και εφηβικής παχυσαρκίας μέσα σε τέσσερις δεκαετίες: νέα μελέτη από το </w:t>
      </w:r>
      <w:r w:rsidRPr="00B71A29">
        <w:rPr>
          <w:rFonts w:cs="Calibri"/>
          <w:b/>
        </w:rPr>
        <w:t>IMPERIAL</w:t>
      </w:r>
      <w:r w:rsidRPr="00B71A29">
        <w:rPr>
          <w:rFonts w:cs="Calibri"/>
          <w:b/>
          <w:lang w:val="el-GR"/>
        </w:rPr>
        <w:t xml:space="preserve"> </w:t>
      </w:r>
      <w:r w:rsidRPr="00B71A29">
        <w:rPr>
          <w:rFonts w:cs="Calibri"/>
          <w:b/>
        </w:rPr>
        <w:t>COLLEGE</w:t>
      </w:r>
      <w:r w:rsidRPr="00B71A29">
        <w:rPr>
          <w:rFonts w:cs="Calibri"/>
          <w:b/>
          <w:lang w:val="el-GR"/>
        </w:rPr>
        <w:t xml:space="preserve"> </w:t>
      </w:r>
      <w:r w:rsidRPr="00B71A29">
        <w:rPr>
          <w:rFonts w:cs="Calibri"/>
          <w:b/>
        </w:rPr>
        <w:t>LONDON</w:t>
      </w:r>
      <w:r w:rsidRPr="00B71A29">
        <w:rPr>
          <w:rFonts w:cs="Calibri"/>
          <w:b/>
          <w:lang w:val="el-GR"/>
        </w:rPr>
        <w:t xml:space="preserve"> και τον ΠΑΓΚΟΣΜΙΟ ΟΡΓΑΝΙΣΜΟ ΥΓΕΙΑΣ με συμμετοχή του ΓΕΩΠΟΝΙΚΟΥ ΠΑΝΕΠΙΣΤΗΜΙΟΥ ΑΘΗΝΩΝ</w:t>
      </w:r>
      <w:r w:rsidRPr="00B71A29">
        <w:rPr>
          <w:rFonts w:ascii="Arial" w:hAnsi="Arial" w:cs="Arial"/>
          <w:lang w:val="el-GR"/>
        </w:rPr>
        <w:t>»</w:t>
      </w:r>
    </w:p>
    <w:p w:rsidR="00EF5D83" w:rsidRPr="00B71A29" w:rsidRDefault="00EF5D83" w:rsidP="00B71A29">
      <w:pPr>
        <w:spacing w:after="0" w:line="240" w:lineRule="auto"/>
        <w:jc w:val="both"/>
        <w:rPr>
          <w:rFonts w:cs="Calibri"/>
          <w:b/>
          <w:lang w:val="el-GR"/>
        </w:rPr>
      </w:pPr>
    </w:p>
    <w:p w:rsidR="00EF5D83" w:rsidRPr="00B71A29" w:rsidRDefault="00EF5D83" w:rsidP="00B71A29">
      <w:pPr>
        <w:jc w:val="both"/>
        <w:rPr>
          <w:rFonts w:cs="Calibri"/>
          <w:b/>
          <w:i/>
          <w:lang w:val="el-GR"/>
        </w:rPr>
      </w:pPr>
      <w:r w:rsidRPr="00B71A29">
        <w:rPr>
          <w:rFonts w:cs="Calibri"/>
          <w:b/>
          <w:i/>
          <w:lang w:val="el-GR"/>
        </w:rPr>
        <w:t>Τα παχύσαρκα παιδιά και έφηβοι, παγκοσμίως, θα είναι περισσότερα από τα ελλιποβαρή μέχρι το 2022</w:t>
      </w:r>
    </w:p>
    <w:p w:rsidR="00EF5D83" w:rsidRPr="00B71A29" w:rsidRDefault="00EF5D83" w:rsidP="00B71A29">
      <w:pPr>
        <w:jc w:val="both"/>
        <w:rPr>
          <w:rFonts w:cs="Calibri"/>
          <w:lang w:val="el-GR"/>
        </w:rPr>
      </w:pPr>
      <w:r w:rsidRPr="00B71A29">
        <w:rPr>
          <w:rFonts w:cs="Calibri"/>
          <w:lang w:val="el-GR"/>
        </w:rPr>
        <w:t xml:space="preserve">10 Οκτωβρίου, 2017 – Λονδίνο: Ο αριθμός των παχύσαρκων παιδιών και εφήβων (ηλικίας 5 έως 19 ετών) παγκοσμίως έχει δεκαπλασιαστεί τις τελευταίες τέσσερις δεκαετίες, σύμφωνα με μία νέα μελέτη που πραγματοποιήθηκε από το </w:t>
      </w:r>
      <w:r w:rsidRPr="00B71A29">
        <w:rPr>
          <w:rFonts w:cs="Calibri"/>
        </w:rPr>
        <w:t>Imperial</w:t>
      </w:r>
      <w:r w:rsidRPr="00B71A29">
        <w:rPr>
          <w:rFonts w:cs="Calibri"/>
          <w:lang w:val="el-GR"/>
        </w:rPr>
        <w:t xml:space="preserve"> </w:t>
      </w:r>
      <w:r w:rsidRPr="00B71A29">
        <w:rPr>
          <w:rFonts w:cs="Calibri"/>
        </w:rPr>
        <w:t>College</w:t>
      </w:r>
      <w:r w:rsidRPr="00B71A29">
        <w:rPr>
          <w:rFonts w:cs="Calibri"/>
          <w:lang w:val="el-GR"/>
        </w:rPr>
        <w:t xml:space="preserve"> </w:t>
      </w:r>
      <w:r w:rsidRPr="00B71A29">
        <w:rPr>
          <w:rFonts w:cs="Calibri"/>
        </w:rPr>
        <w:t>London</w:t>
      </w:r>
      <w:r w:rsidRPr="00B71A29">
        <w:rPr>
          <w:rFonts w:cs="Calibri"/>
          <w:lang w:val="el-GR"/>
        </w:rPr>
        <w:t xml:space="preserve"> και τον Παγκόσμιο Οργανισμό Υγείας (ΠΟΥ). Αν οι τρέχουσες τάσεις συνεχίσουν, περισσότερα παιδιά και έφηβοι θα είναι παχύσαρκα παρά μέτρια ή σοβαρά ελλιποβαρή μέχρι το 2022.</w:t>
      </w:r>
    </w:p>
    <w:p w:rsidR="00EF5D83" w:rsidRPr="00B71A29" w:rsidRDefault="00EF5D83" w:rsidP="00B71A29">
      <w:pPr>
        <w:jc w:val="both"/>
        <w:rPr>
          <w:rFonts w:cs="Calibri"/>
          <w:lang w:val="el-GR"/>
        </w:rPr>
      </w:pPr>
      <w:r w:rsidRPr="00B71A29">
        <w:rPr>
          <w:rFonts w:cs="Calibri"/>
          <w:lang w:val="el-GR"/>
        </w:rPr>
        <w:t>Η μελέτη δημοσιεύτηκε στο Lancet ακριβώς πριν την Παγκόσμια Ημέρα Παχυσαρκίας (11 Οκτωβρίου). Αναλύθηκαν δεδομένα μετρήσεων ύψους και βάρους σχεδόν 130 εκατομμυρίων ατόμων ηλικίας 5 ετών και άνω (31,5 εκατομμύρια άτομα 5 έως 19 ετών και 97,4 εκατομμύρια άτομα 20 ετών και άνω). Ο αριθμός των συμμετεχόντων είναι ο μεγαλύτερος που έχει υπάρξει σε επιδημολιογική μελέτη.  Περισσότεροι από 100 ερευνητές συμμετείχαν στη μελέτη, η οποία αξιολόγησε τον Δείκτη Μάζας Σώματος (ΔΜΣ) και πως έχει αλλάξει το σκηνικό της παχυσαρκίας παγκοσμίως από το 1975 έως το 2016.</w:t>
      </w:r>
    </w:p>
    <w:p w:rsidR="00EF5D83" w:rsidRPr="00B71A29" w:rsidRDefault="00EF5D83" w:rsidP="00B71A29">
      <w:pPr>
        <w:jc w:val="both"/>
        <w:rPr>
          <w:rFonts w:cs="Calibri"/>
          <w:lang w:val="el-GR"/>
        </w:rPr>
      </w:pPr>
      <w:r w:rsidRPr="00B71A29">
        <w:rPr>
          <w:rFonts w:cs="Calibri"/>
          <w:lang w:val="el-GR"/>
        </w:rPr>
        <w:t xml:space="preserve">Κατά τη διάρκεια αυτής της περιόδου, τα ποσοστά παχυσαρκίας στα παιδιά κα τους εφήβους παγκοσμίως αυξήθηκαν από λιγότερο από 1% (ισοδύναμο με πέντε εκατομμύρια κορίτσια και έξι εκατομμύρια αγόρια) το 1975, σε σχεδόν 6% στα κορίτσια (50 εκατομμύρια) και σχεδόν 8% στα αγόρια (74 εκατομμύρια) το 2016. Συνδυαστικά, ο αριθμός των παχύσαρκων ατόμων 5 έως 19 ετών υπερδεκαπλασιάστηκε παγκοσμίως, από 11 εκατομμύρια το 1975 σε 124 εκατομμύρια το 2016. Επιπλέον 213 εκατομμύρια άτομα ήταν υπέρβαροι το 2016, αλλά ήταν κάτω από το όριο της παχυσαρκίας. </w:t>
      </w:r>
    </w:p>
    <w:p w:rsidR="00EF5D83" w:rsidRPr="00B71A29" w:rsidRDefault="00EF5D83" w:rsidP="00B71A29">
      <w:pPr>
        <w:jc w:val="both"/>
        <w:rPr>
          <w:rFonts w:cs="Calibri"/>
          <w:lang w:val="el-GR"/>
        </w:rPr>
      </w:pPr>
      <w:r w:rsidRPr="00B71A29">
        <w:rPr>
          <w:rFonts w:cs="Calibri"/>
          <w:lang w:val="el-GR"/>
        </w:rPr>
        <w:t xml:space="preserve">Ο συγγραφέας του άρθρου και καθηγητής της Σχολής Δημόσιας Υγείας του </w:t>
      </w:r>
      <w:r w:rsidRPr="00B71A29">
        <w:rPr>
          <w:rFonts w:cs="Calibri"/>
        </w:rPr>
        <w:t>Imperial</w:t>
      </w:r>
      <w:r w:rsidRPr="00B71A29">
        <w:rPr>
          <w:rFonts w:cs="Calibri"/>
          <w:lang w:val="el-GR"/>
        </w:rPr>
        <w:t xml:space="preserve"> </w:t>
      </w:r>
      <w:r w:rsidRPr="00B71A29">
        <w:rPr>
          <w:rFonts w:cs="Calibri"/>
          <w:lang w:val="en-US"/>
        </w:rPr>
        <w:t>College</w:t>
      </w:r>
      <w:r w:rsidRPr="00B71A29">
        <w:rPr>
          <w:rFonts w:cs="Calibri"/>
          <w:lang w:val="el-GR"/>
        </w:rPr>
        <w:t xml:space="preserve"> </w:t>
      </w:r>
      <w:r w:rsidRPr="00B71A29">
        <w:rPr>
          <w:rFonts w:cs="Calibri"/>
          <w:lang w:val="en-US"/>
        </w:rPr>
        <w:t>London</w:t>
      </w:r>
      <w:r w:rsidRPr="00B71A29">
        <w:rPr>
          <w:rFonts w:cs="Calibri"/>
          <w:lang w:val="el-GR"/>
        </w:rPr>
        <w:t xml:space="preserve">, </w:t>
      </w:r>
      <w:r w:rsidRPr="00B71A29">
        <w:rPr>
          <w:rFonts w:cs="Calibri"/>
        </w:rPr>
        <w:t>Majid</w:t>
      </w:r>
      <w:r w:rsidRPr="00B71A29">
        <w:rPr>
          <w:rFonts w:cs="Calibri"/>
          <w:lang w:val="el-GR"/>
        </w:rPr>
        <w:t xml:space="preserve"> </w:t>
      </w:r>
      <w:r w:rsidRPr="00B71A29">
        <w:rPr>
          <w:rFonts w:cs="Calibri"/>
        </w:rPr>
        <w:t>Ezzati</w:t>
      </w:r>
      <w:r w:rsidRPr="00B71A29">
        <w:rPr>
          <w:rFonts w:cs="Calibri"/>
          <w:lang w:val="el-GR"/>
        </w:rPr>
        <w:t>, δήλωσε: “Κατά τις τελευταίες τέσσερις δεκαετίες , τα ποσοστά παχυσαρκίας σε παιδιά και εφήβους έχουν εκτοξευτεί παγκοσμίως, και συνεχίζουν να αυξάνονται σε χώρες χαμηλού και μεσαίου εισοδήματος. Τελευταία, τα επίπεδα παχυσαρκίας έχουν σταθεροποιηθεί σε χώρες υψηλού εισοδήματος, αλλά παραμένουν απαράδεκτα υψηλά.”</w:t>
      </w:r>
    </w:p>
    <w:p w:rsidR="00EF5D83" w:rsidRPr="00B71A29" w:rsidRDefault="00EF5D83" w:rsidP="00B71A29">
      <w:pPr>
        <w:jc w:val="both"/>
        <w:rPr>
          <w:rFonts w:cs="Calibri"/>
          <w:lang w:val="el-GR"/>
        </w:rPr>
      </w:pPr>
      <w:r w:rsidRPr="00B71A29">
        <w:rPr>
          <w:rFonts w:cs="Calibri"/>
          <w:lang w:val="el-GR"/>
        </w:rPr>
        <w:t xml:space="preserve">Ο καθηγητής </w:t>
      </w:r>
      <w:r w:rsidRPr="00B71A29">
        <w:rPr>
          <w:rFonts w:cs="Calibri"/>
        </w:rPr>
        <w:t>Ezzati</w:t>
      </w:r>
      <w:r w:rsidRPr="00B71A29">
        <w:rPr>
          <w:rFonts w:cs="Calibri"/>
          <w:lang w:val="el-GR"/>
        </w:rPr>
        <w:t xml:space="preserve"> προσθέτει: “Οι ανησυχητικές αυτές τάσεις αντικατοπτρίζουν τις επιπτώσεις του μάρκετινγκ και των πολιτικών τροφίμων παγκοσμίως, με τις υγιεινές και υψηλής θρεπτικής αξίας τροφές να είναι πολύ ακριβές για αδύναμες οικονομικά οικογένειες και κοινότητες. Οι τάσεις αυτές προμηνύουν μία γενιά παιδιών και εφήβων που θα μεγαλώνουν ως παχύσαρκα άτομα με κακή κατάσταση θρέψης. Χρειαζόμαστε τρόπους για να αυξήσουμε τη διαθεσιμότητα των υγιεινών και θρεπτικών τροφών στο σπίτι και το σχολείο, ιδιαιτέρως για οικονομικά αδύναμες οικογένειες και κοινότητες, καθώς και κανονισμούς και σχετική φορολογία για να προστατεύσουμε τα παιδιά από το μη υγιεινό φαγητό.” </w:t>
      </w:r>
    </w:p>
    <w:p w:rsidR="00EF5D83" w:rsidRPr="00B71A29" w:rsidRDefault="00EF5D83" w:rsidP="00B7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inherit" w:hAnsi="inherit" w:cs="Courier New"/>
          <w:b/>
          <w:color w:val="212121"/>
          <w:lang w:val="el-GR" w:eastAsia="el-GR"/>
        </w:rPr>
      </w:pPr>
      <w:r w:rsidRPr="00B71A29">
        <w:rPr>
          <w:rFonts w:ascii="inherit" w:hAnsi="inherit" w:cs="Courier New"/>
          <w:b/>
          <w:color w:val="212121"/>
          <w:lang w:val="el-GR" w:eastAsia="el-GR"/>
        </w:rPr>
        <w:t>Περισσότεροι παχύσαρκοι από ελλιποβαρής 5 έως 19 ετών μέχρι το 2022</w:t>
      </w:r>
    </w:p>
    <w:p w:rsidR="00EF5D83" w:rsidRPr="00B71A29" w:rsidRDefault="00EF5D83" w:rsidP="00B7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color w:val="212121"/>
          <w:lang w:val="el-GR" w:eastAsia="el-GR"/>
        </w:rPr>
      </w:pPr>
    </w:p>
    <w:p w:rsidR="00EF5D83" w:rsidRPr="00B71A29" w:rsidRDefault="00EF5D83" w:rsidP="00B71A29">
      <w:pPr>
        <w:jc w:val="both"/>
        <w:rPr>
          <w:rFonts w:cs="Calibri"/>
          <w:lang w:val="el-GR"/>
        </w:rPr>
      </w:pPr>
      <w:r w:rsidRPr="00B71A29">
        <w:rPr>
          <w:rFonts w:cs="Calibri"/>
          <w:lang w:val="el-GR"/>
        </w:rPr>
        <w:t>Οι συγγραφείς λένε ότι αν συνεχίσουν οι μετά το 2000 τάσεις, τα παγκόσμια επίπεδα παιδικής και εφηβικής παχυσαρκίας θα ξεπεράσουν τα επίπεδα για μέτρια και σοβαρά ελλιποβαρή για την ίδια ηλικιακή ομάδα έως το 2022.</w:t>
      </w:r>
    </w:p>
    <w:p w:rsidR="00EF5D83" w:rsidRPr="00B71A29" w:rsidRDefault="00EF5D83" w:rsidP="00B71A29">
      <w:pPr>
        <w:jc w:val="both"/>
        <w:rPr>
          <w:rFonts w:cs="Calibri"/>
          <w:lang w:val="el-GR"/>
        </w:rPr>
      </w:pPr>
      <w:r w:rsidRPr="00B71A29">
        <w:rPr>
          <w:rFonts w:cs="Calibri"/>
          <w:lang w:val="el-GR"/>
        </w:rPr>
        <w:t>Παρ 'όλα αυτά, ο μεγάλος αριθμός παιδιών και εφήβων με μέτρια ή σοβαρά ελλιποβαρή το 2016 (75 εκατομμύρια κορίτσια και 117 αγόρια) εξακολουθεί να αποτελεί σημαντική πρόκληση για τη δημόσια υγεία, ιδίως στα φτωχότερα μέρη του κόσμου. Αυτό αντικατοπτρίζει την απειλή που συνιστά ο υποσιτισμός σε όλες τις μορφές του, καθώς υπάρχουν ελλιποβαρής και παχύσαρκοι νέοι που ζουν στις ίδιες κοινότητες.</w:t>
      </w:r>
    </w:p>
    <w:p w:rsidR="00EF5D83" w:rsidRPr="00B71A29" w:rsidRDefault="00EF5D83" w:rsidP="00B71A29">
      <w:pPr>
        <w:jc w:val="both"/>
        <w:rPr>
          <w:rFonts w:cs="Calibri"/>
          <w:lang w:val="el-GR"/>
        </w:rPr>
      </w:pPr>
      <w:r w:rsidRPr="00B71A29">
        <w:rPr>
          <w:rFonts w:cs="Calibri"/>
          <w:lang w:val="el-GR"/>
        </w:rPr>
        <w:t>Τα παιδιά και οι έφηβοι μετατοπίστηκαν ταχέως από κατά το μεγαλύτερο μέρος ελλιποβαρείς σε κυρίως υπέρβαροι σε πολλές χώρες μεσαίου εισοδήματος, συμπεριλαμβανομένης της Ανατολικής Ασίας, της Λατινικής Αμερικής και της Καραϊβικής. Οι συγγραφείς λένε ότι αυτό θα μπορούσε να αντανακλά την αύξηση της κατανάλωσης ενεργειακά πυκνών τροφών, ιδιαίτερα των επεξεργασμένων υδατανθράκων, που οδηγούν σε αύξηση βάρους και δυσμενείς επιπτώσεις στην υγεία καθ 'όλη τη διάρκεια της ζωής τους.</w:t>
      </w:r>
    </w:p>
    <w:p w:rsidR="00EF5D83" w:rsidRPr="00B71A29" w:rsidRDefault="00EF5D83" w:rsidP="00B71A29">
      <w:pPr>
        <w:jc w:val="both"/>
        <w:rPr>
          <w:rFonts w:cs="Calibri"/>
          <w:lang w:val="el-GR"/>
        </w:rPr>
      </w:pPr>
      <w:r w:rsidRPr="00B71A29">
        <w:rPr>
          <w:rFonts w:cs="Calibri"/>
          <w:lang w:val="el-GR"/>
        </w:rPr>
        <w:t>Η Δρ Fiona Bull, συντονιστής προγράμματος για την παρακολούθηση και την πρόληψη των μη μεταδοτικών ασθενειών στον Π.Ο.Υ., δήλωσε: "Τα στοιχεία αυτά υπογραμμίζουν, υπενθυμίζουν και ενισχύουν ότι το υπέρβαρο και η παχυσαρκία αποτελούν σήμερα παγκόσμια κρίση για την υγεία και απειλούν να επιδεινωθεί τα επόμενα χρόνια εκτός αν ξεκινήσουμε και λαμβάνουμε δραστικά μέτρα. "</w:t>
      </w:r>
    </w:p>
    <w:p w:rsidR="00EF5D83" w:rsidRPr="00B71A29" w:rsidRDefault="00EF5D83" w:rsidP="00B71A29">
      <w:pPr>
        <w:jc w:val="both"/>
        <w:outlineLvl w:val="0"/>
        <w:rPr>
          <w:rFonts w:cs="Calibri"/>
          <w:b/>
          <w:lang w:val="el-GR"/>
        </w:rPr>
      </w:pPr>
      <w:r w:rsidRPr="00B71A29">
        <w:rPr>
          <w:rFonts w:cs="Calibri"/>
          <w:b/>
          <w:lang w:val="el-GR"/>
        </w:rPr>
        <w:t>Παγκόσμια δεδομένα για την παχυσαρκία και το χαμηλό βάρος</w:t>
      </w:r>
    </w:p>
    <w:p w:rsidR="00EF5D83" w:rsidRPr="00B71A29" w:rsidRDefault="00EF5D83" w:rsidP="00B7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lang w:val="el-GR" w:eastAsia="el-GR"/>
        </w:rPr>
      </w:pPr>
    </w:p>
    <w:p w:rsidR="00EF5D83" w:rsidRPr="00B71A29" w:rsidRDefault="00EF5D83" w:rsidP="00B71A29">
      <w:pPr>
        <w:jc w:val="both"/>
        <w:rPr>
          <w:rFonts w:cs="Calibri"/>
          <w:lang w:val="el-GR"/>
        </w:rPr>
      </w:pPr>
      <w:r w:rsidRPr="00B71A29">
        <w:rPr>
          <w:rFonts w:cs="Calibri"/>
          <w:lang w:val="el-GR"/>
        </w:rPr>
        <w:t>Το 2016, υπήρχαν 50 εκατομμύρια κορίτσια και 74 εκατομμύρια αγόρια με παχυσαρκία στον κόσμο, ενώ ο παγκόσμιος αριθμός κοριτσιών και αγοριών που είναι μέτρια ή σοβαρά ελλιποβαρή ήταν 75 εκατομμύρια και 117 εκατομμύρια αντίστοιχα.</w:t>
      </w:r>
    </w:p>
    <w:p w:rsidR="00EF5D83" w:rsidRPr="00B71A29" w:rsidRDefault="00EF5D83" w:rsidP="00B71A29">
      <w:pPr>
        <w:jc w:val="both"/>
        <w:rPr>
          <w:rFonts w:cs="Calibri"/>
          <w:lang w:val="el-GR"/>
        </w:rPr>
      </w:pPr>
      <w:r w:rsidRPr="00B71A29">
        <w:rPr>
          <w:rFonts w:cs="Calibri"/>
          <w:lang w:val="el-GR"/>
        </w:rPr>
        <w:t>Ο αριθμός των παχύσαρκων ενηλίκων αυξήθηκε από 100 εκατομμύρια το 1975 (69 εκατομμύρια γυναίκες, 31 εκατομμύρια άνδρες) σε 671 εκατομμύρια το 2016 (390 εκατομμύρια γυναίκες, 281 εκατομμύρια άνδρες). Ένα άλλο 1,3 δισεκατομμύριο ενήλικες ήταν υπέρβαροι, αλλά έπεσαν κάτω από το όριο για την παχυσαρκία.</w:t>
      </w:r>
    </w:p>
    <w:p w:rsidR="00EF5D83" w:rsidRPr="00B71A29" w:rsidRDefault="00EF5D83" w:rsidP="00B71A29">
      <w:pPr>
        <w:jc w:val="both"/>
        <w:outlineLvl w:val="0"/>
        <w:rPr>
          <w:rFonts w:cs="Calibri"/>
          <w:b/>
          <w:lang w:val="el-GR"/>
        </w:rPr>
      </w:pPr>
      <w:bookmarkStart w:id="0" w:name="_GoBack"/>
      <w:bookmarkEnd w:id="0"/>
      <w:r w:rsidRPr="00B71A29">
        <w:rPr>
          <w:rFonts w:cs="Calibri"/>
          <w:b/>
          <w:lang w:val="el-GR"/>
        </w:rPr>
        <w:t xml:space="preserve">Δεδομένα της Περιοχής/Χώρας για παχυσαρκία, ΔΜΣ και ελλιποβαρείς </w:t>
      </w:r>
    </w:p>
    <w:p w:rsidR="00EF5D83" w:rsidRPr="00B71A29" w:rsidRDefault="00EF5D83" w:rsidP="00B71A29">
      <w:pPr>
        <w:jc w:val="both"/>
        <w:rPr>
          <w:rFonts w:cs="Calibri"/>
          <w:lang w:val="el-GR"/>
        </w:rPr>
      </w:pPr>
      <w:r w:rsidRPr="00B71A29">
        <w:rPr>
          <w:rFonts w:cs="Calibri"/>
          <w:lang w:val="el-GR"/>
        </w:rPr>
        <w:t>Παχυσαρκία:</w:t>
      </w:r>
    </w:p>
    <w:p w:rsidR="00EF5D83" w:rsidRPr="00B71A29" w:rsidRDefault="00EF5D83" w:rsidP="00B71A29">
      <w:pPr>
        <w:jc w:val="both"/>
        <w:rPr>
          <w:rFonts w:cs="Calibri"/>
          <w:lang w:val="el-GR"/>
        </w:rPr>
      </w:pPr>
      <w:r w:rsidRPr="00B71A29">
        <w:rPr>
          <w:rFonts w:cs="Calibri"/>
          <w:lang w:val="el-GR"/>
        </w:rPr>
        <w:t>Η αύξηση της παιδικής και εφηβικής παχυσαρκίας σε χώρες με χαμηλό και μεσαίο εισόδημα, ειδικά στην Ασία, έχει επιταχυνθεί από το 1975. Αντιθέτως, στις χώρες με υψηλό εισόδημα έχει επιβραδυνθεί και σταθεροποιηθεί.</w:t>
      </w:r>
    </w:p>
    <w:p w:rsidR="00EF5D83" w:rsidRPr="00B71A29" w:rsidRDefault="00EF5D83" w:rsidP="00B71A29">
      <w:pPr>
        <w:jc w:val="both"/>
        <w:rPr>
          <w:rFonts w:cs="Calibri"/>
          <w:lang w:val="el-GR"/>
        </w:rPr>
      </w:pPr>
      <w:r w:rsidRPr="00B71A29">
        <w:rPr>
          <w:rFonts w:cs="Calibri"/>
          <w:lang w:val="el-GR"/>
        </w:rPr>
        <w:t>Η μεγαλύτερη αύξηση στον αριθμό των παχύσαρκων παιδιών και εφήβων παρατηρήθηκε στην Ανατολική Ασία, σε Αγγλόφωνες περιοχές με υψηλό εισόδημα (Η.Π.Α., Καναδάς, Αυστραλία, Νέα Ζηλανδία, Ιρλανδία και Ηνωμένο Βασίλειο),</w:t>
      </w:r>
      <w:r w:rsidRPr="00B71A29" w:rsidDel="00045579">
        <w:rPr>
          <w:rFonts w:cs="Calibri"/>
          <w:lang w:val="el-GR"/>
        </w:rPr>
        <w:t xml:space="preserve"> </w:t>
      </w:r>
      <w:r w:rsidRPr="00B71A29">
        <w:rPr>
          <w:rFonts w:cs="Calibri"/>
          <w:lang w:val="el-GR"/>
        </w:rPr>
        <w:t xml:space="preserve">και στη Μέση Ανατολή και τη Βόρια Αφρική. </w:t>
      </w:r>
    </w:p>
    <w:p w:rsidR="00EF5D83" w:rsidRPr="00B71A29" w:rsidRDefault="00EF5D83" w:rsidP="00B71A29">
      <w:pPr>
        <w:jc w:val="both"/>
        <w:rPr>
          <w:rFonts w:cs="Calibri"/>
          <w:lang w:val="el-GR"/>
        </w:rPr>
      </w:pPr>
      <w:r w:rsidRPr="00B71A29">
        <w:rPr>
          <w:rFonts w:cs="Calibri"/>
          <w:lang w:val="el-GR"/>
        </w:rPr>
        <w:t xml:space="preserve">Το 2016, τα ποσοστά παχυσαρκία ήταν τα υψηλότερα συνολικά στην Πολυνησία και στη Μικρονησία, στο 25.4% στα κορίτσια και στο 22.4% στα αγόρια, ακολουθούμενοι από τις Αγγλόφωνες περιοχές με υψηλό εισόδημα. Το Ναουρού είχε το υψηλότερο επιπολασμό παχυσαρκίας για τα κορίτσια (33.4%), και οι Νήσοι Κουκ είχαν το υψηλότερο για τα αγόρια (33.3%). </w:t>
      </w:r>
    </w:p>
    <w:p w:rsidR="00EF5D83" w:rsidRPr="00B71A29" w:rsidRDefault="00EF5D83" w:rsidP="00B71A29">
      <w:pPr>
        <w:jc w:val="both"/>
        <w:rPr>
          <w:rFonts w:cs="Calibri"/>
          <w:lang w:val="el-GR"/>
        </w:rPr>
      </w:pPr>
      <w:r w:rsidRPr="00B71A29">
        <w:rPr>
          <w:rFonts w:cs="Calibri"/>
          <w:lang w:val="el-GR"/>
        </w:rPr>
        <w:t>Στην Ευρώπη, τα κορίτσια στη Μάλτα και τα αγόρια στην Ελλάδα είχαν τα υψηλότερα ποσοστά παχυσαρκίας, στο 11.3% και 16.7% του πληθυσμού αντίστοιχα. Τα κορίτσια και τα αγόρια στη Μολδαβία είχα τα χαμηλότερα ποσοστά παχυσαρκίας, στο 3.2% και 5% του πληθυσμού αντίστοιχα.</w:t>
      </w:r>
    </w:p>
    <w:p w:rsidR="00EF5D83" w:rsidRPr="00B71A29" w:rsidRDefault="00EF5D83" w:rsidP="00B71A29">
      <w:pPr>
        <w:jc w:val="both"/>
        <w:rPr>
          <w:rFonts w:cs="Calibri"/>
          <w:lang w:val="el-GR"/>
        </w:rPr>
      </w:pPr>
      <w:r w:rsidRPr="00B71A29">
        <w:rPr>
          <w:rFonts w:cs="Calibri"/>
          <w:highlight w:val="yellow"/>
          <w:lang w:val="en-US"/>
        </w:rPr>
        <w:t>To</w:t>
      </w:r>
      <w:r w:rsidRPr="00B71A29">
        <w:rPr>
          <w:rFonts w:cs="Calibri"/>
          <w:highlight w:val="yellow"/>
          <w:lang w:val="el-GR"/>
        </w:rPr>
        <w:t xml:space="preserve"> </w:t>
      </w:r>
      <w:r w:rsidRPr="00B71A29">
        <w:rPr>
          <w:rFonts w:cs="Calibri"/>
          <w:highlight w:val="yellow"/>
          <w:lang w:val="en-US"/>
        </w:rPr>
        <w:t>T</w:t>
      </w:r>
      <w:r w:rsidRPr="00B71A29">
        <w:rPr>
          <w:rFonts w:cs="Calibri"/>
          <w:highlight w:val="yellow"/>
          <w:lang w:val="el-GR"/>
        </w:rPr>
        <w:t xml:space="preserve">μήμα Επιστήμης Τροφίμων και Διατροφής του Ανθρώπου του Γεωπονικού Πανεπιστημίου Αθηνών συμμετείχε σε αυτή την Παγκόσμια Μελέτη μέσω των στοιχείων που έδωσε από την Μελέτη </w:t>
      </w:r>
      <w:r w:rsidRPr="00B71A29">
        <w:rPr>
          <w:rFonts w:cs="Calibri"/>
          <w:highlight w:val="yellow"/>
          <w:lang w:val="en-US"/>
        </w:rPr>
        <w:t>GRECO</w:t>
      </w:r>
      <w:r w:rsidRPr="00B71A29">
        <w:rPr>
          <w:rFonts w:cs="Calibri"/>
          <w:highlight w:val="yellow"/>
          <w:lang w:val="el-GR"/>
        </w:rPr>
        <w:t xml:space="preserve">. Ο Επιστημονικός Υπεύθυνος αυτής της Μελέτης, καθηγητής διατροφής του ανθρώπου, Αντώνης Ζαμπέλας δήλωσε: " Η παιδική παχυσαρκία είναι πλέον ένα μεγάλο πρόβλημα παγκοσμίως. Στη χώρα μας υπάρχει πλέον ένας ικανοποιητικός αριθμός αξιόπιστων μελετών που διερεύνησε και εξακολουθεί να διερευνά το πρόβλημα της παιδικής παχυσαρκίας, όπως η Μελέτη </w:t>
      </w:r>
      <w:r w:rsidRPr="00B71A29">
        <w:rPr>
          <w:rFonts w:cs="Calibri"/>
          <w:highlight w:val="yellow"/>
          <w:lang w:val="en-US"/>
        </w:rPr>
        <w:t>GRECO</w:t>
      </w:r>
      <w:r w:rsidRPr="00B71A29">
        <w:rPr>
          <w:rFonts w:cs="Calibri"/>
          <w:highlight w:val="yellow"/>
          <w:lang w:val="el-GR"/>
        </w:rPr>
        <w:t>, που διεξήχθη σε αντιπροσωπευτικό δείγμα από όλη τη χώρα σε παιδία δημοτικού σχολείου. Λόγω του ότι ο κίνδυνος εμφάνισης χρόνιων νοσημάτων στην ενήλικη ζωή αυξάνεται με την παρουσία παιδικής παχυσαρκίας, πρέπει να ληφθούν μέτρα άμεσα σε επίπεδο χώρας για την αντιμετώπιση αυτού του προβλήματος που είναι πλέον πρόβλημα δημόσιας υγείας".</w:t>
      </w:r>
    </w:p>
    <w:p w:rsidR="00EF5D83" w:rsidRPr="00B71A29" w:rsidRDefault="00EF5D83" w:rsidP="00B71A29">
      <w:pPr>
        <w:jc w:val="both"/>
        <w:rPr>
          <w:rFonts w:cs="Calibri"/>
          <w:lang w:val="el-GR"/>
        </w:rPr>
      </w:pPr>
      <w:r w:rsidRPr="00B71A29">
        <w:rPr>
          <w:rFonts w:cs="Calibri"/>
          <w:lang w:val="el-GR"/>
        </w:rPr>
        <w:t>Τα κορίτσια στο Ηνωμένο Βασίλειο είχαν το 73</w:t>
      </w:r>
      <w:r w:rsidRPr="00B71A29">
        <w:rPr>
          <w:rFonts w:cs="Calibri"/>
          <w:vertAlign w:val="superscript"/>
          <w:lang w:val="el-GR"/>
        </w:rPr>
        <w:t>ο</w:t>
      </w:r>
      <w:r w:rsidRPr="00B71A29">
        <w:rPr>
          <w:rFonts w:cs="Calibri"/>
          <w:lang w:val="el-GR"/>
        </w:rPr>
        <w:t xml:space="preserve"> υψηλότερο ποσοστό παχυσαρκίας παγκοσμίως (6</w:t>
      </w:r>
      <w:r w:rsidRPr="00B71A29">
        <w:rPr>
          <w:rFonts w:cs="Calibri"/>
          <w:vertAlign w:val="superscript"/>
          <w:lang w:val="el-GR"/>
        </w:rPr>
        <w:t>ο</w:t>
      </w:r>
      <w:r w:rsidRPr="00B71A29">
        <w:rPr>
          <w:rFonts w:cs="Calibri"/>
          <w:lang w:val="el-GR"/>
        </w:rPr>
        <w:t xml:space="preserve"> στην Ευρώπη), και τα αγόρια στο Ηνωμένο Βασίλειο είχαν τη 84</w:t>
      </w:r>
      <w:r w:rsidRPr="00B71A29">
        <w:rPr>
          <w:rFonts w:cs="Calibri"/>
          <w:vertAlign w:val="superscript"/>
          <w:lang w:val="el-GR"/>
        </w:rPr>
        <w:t>η</w:t>
      </w:r>
      <w:r w:rsidRPr="00B71A29">
        <w:rPr>
          <w:rFonts w:cs="Calibri"/>
          <w:lang w:val="el-GR"/>
        </w:rPr>
        <w:t xml:space="preserve"> υψηλότερη παχυσαρκία παγκοσμίως (18</w:t>
      </w:r>
      <w:r w:rsidRPr="00B71A29">
        <w:rPr>
          <w:rFonts w:cs="Calibri"/>
          <w:vertAlign w:val="superscript"/>
          <w:lang w:val="el-GR"/>
        </w:rPr>
        <w:t>η</w:t>
      </w:r>
      <w:r w:rsidRPr="00B71A29">
        <w:rPr>
          <w:rFonts w:cs="Calibri"/>
          <w:lang w:val="el-GR"/>
        </w:rPr>
        <w:t xml:space="preserve"> στην Ευρώπη).</w:t>
      </w:r>
    </w:p>
    <w:p w:rsidR="00EF5D83" w:rsidRPr="00B71A29" w:rsidRDefault="00EF5D83" w:rsidP="00B71A29">
      <w:pPr>
        <w:jc w:val="both"/>
        <w:rPr>
          <w:rFonts w:cs="Calibri"/>
          <w:lang w:val="el-GR"/>
        </w:rPr>
      </w:pPr>
      <w:r w:rsidRPr="00B71A29">
        <w:rPr>
          <w:rFonts w:cs="Calibri"/>
          <w:lang w:val="el-GR"/>
        </w:rPr>
        <w:t>Τα κορίτσια στις Η.Π.Α. είχαν το 15</w:t>
      </w:r>
      <w:r w:rsidRPr="00B71A29">
        <w:rPr>
          <w:rFonts w:cs="Calibri"/>
          <w:vertAlign w:val="superscript"/>
          <w:lang w:val="el-GR"/>
        </w:rPr>
        <w:t>ο</w:t>
      </w:r>
      <w:r w:rsidRPr="00B71A29">
        <w:rPr>
          <w:rFonts w:cs="Calibri"/>
          <w:lang w:val="el-GR"/>
        </w:rPr>
        <w:t xml:space="preserve"> υψηλότερο ποσοστό παχυσαρκίας παγκοσμίως, και τα αγόρια είχαν τη 12</w:t>
      </w:r>
      <w:r w:rsidRPr="00B71A29">
        <w:rPr>
          <w:rFonts w:cs="Calibri"/>
          <w:vertAlign w:val="superscript"/>
          <w:lang w:val="el-GR"/>
        </w:rPr>
        <w:t>ο</w:t>
      </w:r>
      <w:r w:rsidRPr="00B71A29">
        <w:rPr>
          <w:rFonts w:cs="Calibri"/>
          <w:lang w:val="el-GR"/>
        </w:rPr>
        <w:t xml:space="preserve"> υψηλότερη παχυσαρκία παγκοσμίως. </w:t>
      </w:r>
    </w:p>
    <w:p w:rsidR="00EF5D83" w:rsidRPr="00B71A29" w:rsidRDefault="00EF5D83" w:rsidP="00B71A29">
      <w:pPr>
        <w:jc w:val="both"/>
        <w:rPr>
          <w:rFonts w:cs="Calibri"/>
          <w:lang w:val="el-GR"/>
        </w:rPr>
      </w:pPr>
      <w:r w:rsidRPr="00B71A29">
        <w:rPr>
          <w:rFonts w:cs="Calibri"/>
          <w:lang w:val="el-GR"/>
        </w:rPr>
        <w:t xml:space="preserve">Μεταξύ των χωρών υψηλού εισοδήματος, οι Η.Π.Α. είχαν τα υψηλότερα ποσοστά παχυσαρκίας για τα κορίτσια και τα αγόρια. </w:t>
      </w:r>
    </w:p>
    <w:p w:rsidR="00EF5D83" w:rsidRPr="00B71A29" w:rsidRDefault="00EF5D83" w:rsidP="00B71A29">
      <w:pPr>
        <w:jc w:val="both"/>
        <w:outlineLvl w:val="0"/>
        <w:rPr>
          <w:rFonts w:cs="Calibri"/>
          <w:lang w:val="el-GR"/>
        </w:rPr>
      </w:pPr>
      <w:r w:rsidRPr="00B71A29">
        <w:rPr>
          <w:rFonts w:cs="Calibri"/>
          <w:lang w:val="el-GR"/>
        </w:rPr>
        <w:t>ΔΜΣ:</w:t>
      </w:r>
    </w:p>
    <w:p w:rsidR="00EF5D83" w:rsidRPr="00B71A29" w:rsidRDefault="00EF5D83" w:rsidP="00B71A29">
      <w:pPr>
        <w:jc w:val="both"/>
        <w:rPr>
          <w:rFonts w:cs="Calibri"/>
          <w:lang w:val="el-GR"/>
        </w:rPr>
      </w:pPr>
      <w:r w:rsidRPr="00B71A29">
        <w:rPr>
          <w:rFonts w:cs="Calibri"/>
          <w:lang w:val="el-GR"/>
        </w:rPr>
        <w:t xml:space="preserve">Η μεγαλύτερη αύξηση του ΔΜΣ των παιδιών και εφήβων από το 1975 ήταν στην Πολυνησία και στη Μικρονησία και για τα δύο φύλα, και στην κεντρική Λατινική Αμερική για τα κορίτσια. Η μικρότερη αύξηση του ΔΜΣ των παιδιών και εφήβων κατά τη διάρκεια των τεσσάρων δεκαετιών που κάλυψε η μελέτη παρατηρήθηκε στην Ανατολική Ευρώπη. </w:t>
      </w:r>
    </w:p>
    <w:p w:rsidR="00EF5D83" w:rsidRPr="00B71A29" w:rsidRDefault="00EF5D83" w:rsidP="00B71A29">
      <w:pPr>
        <w:jc w:val="both"/>
        <w:rPr>
          <w:rFonts w:cs="Calibri"/>
          <w:lang w:val="el-GR"/>
        </w:rPr>
      </w:pPr>
      <w:r w:rsidRPr="00B71A29">
        <w:rPr>
          <w:rFonts w:cs="Calibri"/>
          <w:lang w:val="el-GR"/>
        </w:rPr>
        <w:t xml:space="preserve">Η χώρα με τη μεγαλύτερη αύξηση του ΔΜΣ για τα κορίτσια ήταν η Σαμόα, όπου αυξήθηκε κατά 5.6 </w:t>
      </w:r>
      <w:r w:rsidRPr="00B71A29">
        <w:rPr>
          <w:rFonts w:cs="Calibri"/>
        </w:rPr>
        <w:t>kg</w:t>
      </w:r>
      <w:r w:rsidRPr="00B71A29">
        <w:rPr>
          <w:rFonts w:cs="Calibri"/>
          <w:lang w:val="el-GR"/>
        </w:rPr>
        <w:t>/</w:t>
      </w:r>
      <w:r w:rsidRPr="00B71A29">
        <w:rPr>
          <w:rFonts w:cs="Calibri"/>
        </w:rPr>
        <w:t>m</w:t>
      </w:r>
      <w:r w:rsidRPr="00B71A29">
        <w:rPr>
          <w:rFonts w:cs="Calibri"/>
          <w:vertAlign w:val="superscript"/>
          <w:lang w:val="el-GR"/>
        </w:rPr>
        <w:t>2</w:t>
      </w:r>
      <w:r w:rsidRPr="00B71A29">
        <w:rPr>
          <w:rFonts w:cs="Calibri"/>
          <w:lang w:val="el-GR"/>
        </w:rPr>
        <w:t xml:space="preserve">, και για τα αγόρια ήταν οι Νήσοι Κουκ, όπου αυξήθηκε κατά 4.4 </w:t>
      </w:r>
      <w:r w:rsidRPr="00B71A29">
        <w:rPr>
          <w:rFonts w:cs="Calibri"/>
        </w:rPr>
        <w:t>kg</w:t>
      </w:r>
      <w:r w:rsidRPr="00B71A29">
        <w:rPr>
          <w:rFonts w:cs="Calibri"/>
          <w:lang w:val="el-GR"/>
        </w:rPr>
        <w:t>/</w:t>
      </w:r>
      <w:r w:rsidRPr="00B71A29">
        <w:rPr>
          <w:rFonts w:cs="Calibri"/>
        </w:rPr>
        <w:t>m</w:t>
      </w:r>
      <w:r w:rsidRPr="00B71A29">
        <w:rPr>
          <w:rFonts w:cs="Calibri"/>
          <w:vertAlign w:val="superscript"/>
          <w:lang w:val="el-GR"/>
        </w:rPr>
        <w:t>2</w:t>
      </w:r>
      <w:r w:rsidRPr="00B71A29">
        <w:rPr>
          <w:rFonts w:cs="Calibri"/>
          <w:lang w:val="el-GR"/>
        </w:rPr>
        <w:t xml:space="preserve">. </w:t>
      </w:r>
    </w:p>
    <w:p w:rsidR="00EF5D83" w:rsidRPr="00B71A29" w:rsidRDefault="00EF5D83" w:rsidP="00B71A29">
      <w:pPr>
        <w:jc w:val="both"/>
        <w:rPr>
          <w:rFonts w:cs="Calibri"/>
          <w:lang w:val="el-GR"/>
        </w:rPr>
      </w:pPr>
      <w:r w:rsidRPr="00B71A29">
        <w:rPr>
          <w:rFonts w:cs="Calibri"/>
          <w:lang w:val="el-GR"/>
        </w:rPr>
        <w:t>Ελλιποβαρείς:</w:t>
      </w:r>
    </w:p>
    <w:p w:rsidR="00EF5D83" w:rsidRPr="00B71A29" w:rsidRDefault="00EF5D83" w:rsidP="00B71A29">
      <w:pPr>
        <w:jc w:val="both"/>
        <w:rPr>
          <w:rFonts w:cs="Calibri"/>
          <w:lang w:val="el-GR"/>
        </w:rPr>
      </w:pPr>
      <w:r w:rsidRPr="00B71A29">
        <w:rPr>
          <w:rFonts w:cs="Calibri"/>
          <w:lang w:val="el-GR"/>
        </w:rPr>
        <w:t>Η Ινδία είχε την υψηλότερη συχνότητα εμφάνισης μέτριας και σοβαρής έλλειψης βάρους κάτω των 19 ετών κατά τη διάρκεια αυτών των τεσσάρων δεκαετιών (το 24.4% των κοριτσιών και το 39.3% των αγοριών ήταν μέτρια ή σοβαρά ελλιποβαρή το 1975, και 22.7% και 30.7% το 2016). Τα 97 εκατομμύρια των παιδιών και των εφήβων που είναι μέτρια ή σοβαρά ελλιποβαρή στον κόσμο ζούσαν στην Ινδία το 2016.</w:t>
      </w:r>
    </w:p>
    <w:p w:rsidR="00EF5D83" w:rsidRPr="00B71A29" w:rsidRDefault="00EF5D83" w:rsidP="00B71A29">
      <w:pPr>
        <w:jc w:val="both"/>
        <w:outlineLvl w:val="0"/>
        <w:rPr>
          <w:rFonts w:cs="Calibri"/>
          <w:b/>
          <w:bCs/>
          <w:lang w:val="el-GR"/>
        </w:rPr>
      </w:pPr>
      <w:r w:rsidRPr="00B71A29">
        <w:rPr>
          <w:rFonts w:cs="Calibri"/>
          <w:b/>
          <w:bCs/>
          <w:lang w:val="el-GR"/>
        </w:rPr>
        <w:t>Υπάρχουν λύσεις για να μειώσουν την παιδική και εφηβική παχυσαρκία</w:t>
      </w:r>
    </w:p>
    <w:p w:rsidR="00EF5D83" w:rsidRPr="00B71A29" w:rsidRDefault="00EF5D83" w:rsidP="00B71A29">
      <w:pPr>
        <w:shd w:val="clear" w:color="auto" w:fill="FFFFFF"/>
        <w:jc w:val="both"/>
        <w:rPr>
          <w:rFonts w:cs="Calibri"/>
          <w:lang w:val="el-GR"/>
        </w:rPr>
      </w:pPr>
      <w:r w:rsidRPr="00B71A29">
        <w:rPr>
          <w:rFonts w:cs="Calibri"/>
          <w:lang w:val="el-GR"/>
        </w:rPr>
        <w:t>Σε συνδυασμό με τη δημοσίευση των νέων εκτιμήσεων παχυσαρκίας, ο ΠΟΥ δημοσιεύει μια περίληψη της Εφαρμογή Σχεδίου για τη Λήξη της Παιδική Παχυσαρκίας (</w:t>
      </w:r>
      <w:r w:rsidRPr="00B71A29">
        <w:rPr>
          <w:rFonts w:cs="Calibri"/>
        </w:rPr>
        <w:t>ECHO</w:t>
      </w:r>
      <w:r w:rsidRPr="00B71A29">
        <w:rPr>
          <w:rFonts w:cs="Calibri"/>
          <w:lang w:val="el-GR"/>
        </w:rPr>
        <w:t>). Το πρόγραμμα δίνει στις χώρες σαφείς οδηγίες για αποτελεσματικές δράσεις για να καταπολεμηθεί η παιδική και εφηβική παχυσαρκία. Ο ΠΟΥ έχει επίσης δημοσιεύσει κατευθυντήριες οδηγίες στους εργαζόμενους στην υγειονομική περίθαλψη για να εντοπίσουν και να διαχειριστούν παιδιά που είναι υπέρβαρα ή παχύσαρκα.</w:t>
      </w:r>
    </w:p>
    <w:p w:rsidR="00EF5D83" w:rsidRPr="00B71A29" w:rsidRDefault="00EF5D83" w:rsidP="00B71A29">
      <w:pPr>
        <w:jc w:val="both"/>
        <w:rPr>
          <w:lang w:val="el-GR"/>
        </w:rPr>
      </w:pPr>
      <w:r w:rsidRPr="00B71A29">
        <w:rPr>
          <w:rFonts w:cs="Calibri"/>
          <w:lang w:val="el-GR"/>
        </w:rPr>
        <w:t xml:space="preserve">Ο Δρ </w:t>
      </w:r>
      <w:r w:rsidRPr="00B71A29">
        <w:rPr>
          <w:rFonts w:cs="Calibri"/>
        </w:rPr>
        <w:t>Bull</w:t>
      </w:r>
      <w:r w:rsidRPr="00B71A29">
        <w:rPr>
          <w:rFonts w:cs="Calibri"/>
          <w:lang w:val="el-GR"/>
        </w:rPr>
        <w:t xml:space="preserve"> πρόσθεσε: “Ο ΠΟΥ ενθαρρύνει τις χώρες να υλοποιήσουν τις προσπάθειες  που απευθύνονται στα περιβάλλοντα που σήμερα αυξάνουν τις πιθανότητες παιδικής παχυσαρκίας. Οι χώρες θα πρέπει να στοχεύσουν ιδιαίτερα στο να μειώσουν την κατανάλωση φθηνών, εξαιρετικά-επεξεργασμένων, πυκνών θερμίδων, φτωχών σε θρεπτικά συστατικά τροφίμων. Θα πρέπει επίσης να μειώσουν το χρόνο που τα παιδιά δαπανούν σε δραστηριότητες με βάση την οθόνη και σε καθιστικές δραστηριότητες αναψυχής με το να προωθούν μεγαλύτερη συμμετοχή σε σωματική δραστηριότητα μέσω δραστήριας αναψυχής και αθλημάτων.”</w:t>
      </w:r>
    </w:p>
    <w:p w:rsidR="00EF5D83" w:rsidRPr="00B71A29" w:rsidRDefault="00EF5D83" w:rsidP="00B71A29">
      <w:pPr>
        <w:pStyle w:val="PlainText"/>
        <w:jc w:val="both"/>
        <w:outlineLvl w:val="0"/>
        <w:rPr>
          <w:rFonts w:cs="Calibri"/>
          <w:b/>
          <w:szCs w:val="22"/>
          <w:lang w:val="el-GR"/>
        </w:rPr>
      </w:pPr>
      <w:r w:rsidRPr="00B71A29">
        <w:rPr>
          <w:rFonts w:cs="Calibri"/>
          <w:b/>
          <w:szCs w:val="22"/>
          <w:lang w:val="el-GR"/>
        </w:rPr>
        <w:t>ΓΙΑ ΠΕΡΙΣΣΟΤΕΡΕΣ ΠΛΗΡΟΦΟΡΙΕΣ ΠΑΡΑΚΑΛΟΥΜΕ ΕΠΙΚΟΙΝΩΝΗΣΤΕ:</w:t>
      </w:r>
    </w:p>
    <w:p w:rsidR="00EF5D83" w:rsidRPr="00B71A29" w:rsidRDefault="00EF5D83" w:rsidP="00B71A29">
      <w:pPr>
        <w:pStyle w:val="PlainText"/>
        <w:rPr>
          <w:rFonts w:cs="Calibri"/>
          <w:szCs w:val="22"/>
          <w:lang w:val="el-GR"/>
        </w:rPr>
      </w:pPr>
    </w:p>
    <w:p w:rsidR="00EF5D83" w:rsidRPr="00B71A29" w:rsidRDefault="00EF5D83" w:rsidP="00B71A29">
      <w:pPr>
        <w:pStyle w:val="PlainText"/>
        <w:outlineLvl w:val="0"/>
        <w:rPr>
          <w:rFonts w:cs="Calibri"/>
          <w:szCs w:val="22"/>
        </w:rPr>
      </w:pPr>
      <w:r w:rsidRPr="00B71A29">
        <w:rPr>
          <w:rFonts w:cs="Calibri"/>
          <w:szCs w:val="22"/>
        </w:rPr>
        <w:t>Caroline Brogan</w:t>
      </w:r>
    </w:p>
    <w:p w:rsidR="00EF5D83" w:rsidRPr="00B71A29" w:rsidRDefault="00EF5D83" w:rsidP="00B71A29">
      <w:pPr>
        <w:pStyle w:val="PlainText"/>
        <w:rPr>
          <w:rFonts w:cs="Calibri"/>
          <w:szCs w:val="22"/>
        </w:rPr>
      </w:pPr>
      <w:r w:rsidRPr="00B71A29">
        <w:rPr>
          <w:rFonts w:cs="Calibri"/>
          <w:szCs w:val="22"/>
        </w:rPr>
        <w:t xml:space="preserve">Media and Communications Officer (Research) </w:t>
      </w:r>
    </w:p>
    <w:p w:rsidR="00EF5D83" w:rsidRPr="00B71A29" w:rsidRDefault="00EF5D83" w:rsidP="00B71A29">
      <w:pPr>
        <w:pStyle w:val="PlainText"/>
        <w:rPr>
          <w:rFonts w:cs="Calibri"/>
          <w:szCs w:val="22"/>
        </w:rPr>
      </w:pPr>
      <w:smartTag w:uri="urn:schemas-microsoft-com:office:smarttags" w:element="PlaceName">
        <w:r w:rsidRPr="00B71A29">
          <w:rPr>
            <w:rFonts w:cs="Calibri"/>
            <w:szCs w:val="22"/>
          </w:rPr>
          <w:t>Imperial</w:t>
        </w:r>
      </w:smartTag>
      <w:r w:rsidRPr="00B71A29">
        <w:rPr>
          <w:rFonts w:cs="Calibri"/>
          <w:szCs w:val="22"/>
        </w:rPr>
        <w:t xml:space="preserve"> </w:t>
      </w:r>
      <w:smartTag w:uri="urn:schemas-microsoft-com:office:smarttags" w:element="PlaceType">
        <w:r w:rsidRPr="00B71A29">
          <w:rPr>
            <w:rFonts w:cs="Calibri"/>
            <w:szCs w:val="22"/>
          </w:rPr>
          <w:t>College</w:t>
        </w:r>
      </w:smartTag>
      <w:r w:rsidRPr="00B71A29">
        <w:rPr>
          <w:rFonts w:cs="Calibri"/>
          <w:szCs w:val="22"/>
        </w:rPr>
        <w:t xml:space="preserve"> </w:t>
      </w:r>
      <w:smartTag w:uri="urn:schemas-microsoft-com:office:smarttags" w:element="place">
        <w:smartTag w:uri="urn:schemas-microsoft-com:office:smarttags" w:element="City">
          <w:r w:rsidRPr="00B71A29">
            <w:rPr>
              <w:rFonts w:cs="Calibri"/>
              <w:szCs w:val="22"/>
            </w:rPr>
            <w:t>London</w:t>
          </w:r>
        </w:smartTag>
      </w:smartTag>
    </w:p>
    <w:p w:rsidR="00EF5D83" w:rsidRPr="00B71A29" w:rsidRDefault="00EF5D83" w:rsidP="00B71A29">
      <w:pPr>
        <w:pStyle w:val="PlainText"/>
        <w:rPr>
          <w:rFonts w:cs="Calibri"/>
          <w:szCs w:val="22"/>
        </w:rPr>
      </w:pPr>
      <w:r w:rsidRPr="00B71A29">
        <w:rPr>
          <w:rFonts w:cs="Calibri"/>
          <w:szCs w:val="22"/>
        </w:rPr>
        <w:t>Tel: +44(0)20 7594 3415</w:t>
      </w:r>
    </w:p>
    <w:p w:rsidR="00EF5D83" w:rsidRPr="00B71A29" w:rsidRDefault="00EF5D83" w:rsidP="00B71A29">
      <w:pPr>
        <w:pStyle w:val="PlainText"/>
        <w:outlineLvl w:val="0"/>
        <w:rPr>
          <w:rFonts w:cs="Calibri"/>
          <w:szCs w:val="22"/>
        </w:rPr>
      </w:pPr>
      <w:r w:rsidRPr="00B71A29">
        <w:rPr>
          <w:rFonts w:cs="Calibri"/>
          <w:szCs w:val="22"/>
        </w:rPr>
        <w:t xml:space="preserve">Email: </w:t>
      </w:r>
      <w:hyperlink r:id="rId10" w:history="1">
        <w:r w:rsidRPr="00B71A29">
          <w:rPr>
            <w:rStyle w:val="Hyperlink"/>
            <w:rFonts w:cs="Calibri"/>
            <w:szCs w:val="22"/>
          </w:rPr>
          <w:t>caroline.brogan@imperial.ac.uk</w:t>
        </w:r>
      </w:hyperlink>
    </w:p>
    <w:p w:rsidR="00EF5D83" w:rsidRPr="00B71A29" w:rsidRDefault="00EF5D83" w:rsidP="00B71A29">
      <w:pPr>
        <w:pStyle w:val="PlainText"/>
        <w:outlineLvl w:val="0"/>
        <w:rPr>
          <w:rFonts w:cs="Calibri"/>
          <w:szCs w:val="22"/>
        </w:rPr>
      </w:pPr>
      <w:r w:rsidRPr="00B71A29">
        <w:rPr>
          <w:rFonts w:cs="Calibri"/>
          <w:szCs w:val="22"/>
        </w:rPr>
        <w:t>Out of hours: +44 (0)7803 886248</w:t>
      </w:r>
    </w:p>
    <w:p w:rsidR="00EF5D83" w:rsidRPr="00B71A29" w:rsidRDefault="00EF5D83" w:rsidP="00B71A29">
      <w:pPr>
        <w:pStyle w:val="PlainText"/>
        <w:rPr>
          <w:rFonts w:cs="Calibri"/>
          <w:szCs w:val="22"/>
        </w:rPr>
      </w:pPr>
    </w:p>
    <w:p w:rsidR="00EF5D83" w:rsidRPr="00B71A29" w:rsidRDefault="00EF5D83" w:rsidP="00B71A29">
      <w:pPr>
        <w:pStyle w:val="PlainText"/>
        <w:outlineLvl w:val="0"/>
        <w:rPr>
          <w:rFonts w:cs="Calibri"/>
          <w:szCs w:val="22"/>
        </w:rPr>
      </w:pPr>
      <w:r w:rsidRPr="00B71A29">
        <w:rPr>
          <w:rFonts w:cs="Calibri"/>
          <w:szCs w:val="22"/>
        </w:rPr>
        <w:t>Paul Garwood</w:t>
      </w:r>
    </w:p>
    <w:p w:rsidR="00EF5D83" w:rsidRPr="00B71A29" w:rsidRDefault="00EF5D83" w:rsidP="00B71A29">
      <w:pPr>
        <w:pStyle w:val="PlainText"/>
        <w:rPr>
          <w:rFonts w:cs="Calibri"/>
          <w:szCs w:val="22"/>
        </w:rPr>
      </w:pPr>
      <w:r w:rsidRPr="00B71A29">
        <w:rPr>
          <w:rFonts w:cs="Calibri"/>
          <w:szCs w:val="22"/>
        </w:rPr>
        <w:t>Department of Communications</w:t>
      </w:r>
    </w:p>
    <w:p w:rsidR="00EF5D83" w:rsidRPr="00B71A29" w:rsidRDefault="00EF5D83" w:rsidP="00B71A29">
      <w:pPr>
        <w:pStyle w:val="PlainText"/>
        <w:rPr>
          <w:rFonts w:cs="Calibri"/>
          <w:szCs w:val="22"/>
        </w:rPr>
      </w:pPr>
      <w:r w:rsidRPr="00B71A29">
        <w:rPr>
          <w:rFonts w:cs="Calibri"/>
          <w:szCs w:val="22"/>
        </w:rPr>
        <w:t>World Health Organization</w:t>
      </w:r>
    </w:p>
    <w:p w:rsidR="00EF5D83" w:rsidRPr="00B71A29" w:rsidRDefault="00EF5D83" w:rsidP="00B71A29">
      <w:pPr>
        <w:pStyle w:val="PlainText"/>
        <w:rPr>
          <w:rFonts w:cs="Calibri"/>
          <w:szCs w:val="22"/>
        </w:rPr>
      </w:pPr>
      <w:r w:rsidRPr="00B71A29">
        <w:rPr>
          <w:rFonts w:cs="Calibri"/>
          <w:szCs w:val="22"/>
        </w:rPr>
        <w:t>Tel: +41 796037294</w:t>
      </w:r>
    </w:p>
    <w:p w:rsidR="00EF5D83" w:rsidRPr="00B71A29" w:rsidRDefault="00EF5D83" w:rsidP="00B71A29">
      <w:pPr>
        <w:pStyle w:val="PlainText"/>
        <w:outlineLvl w:val="0"/>
        <w:rPr>
          <w:rFonts w:cs="Calibri"/>
          <w:szCs w:val="22"/>
        </w:rPr>
      </w:pPr>
      <w:r w:rsidRPr="00B71A29">
        <w:rPr>
          <w:rFonts w:cs="Calibri"/>
          <w:szCs w:val="22"/>
        </w:rPr>
        <w:t xml:space="preserve">Email: </w:t>
      </w:r>
      <w:hyperlink r:id="rId11" w:history="1">
        <w:r w:rsidRPr="00B71A29">
          <w:rPr>
            <w:rStyle w:val="Hyperlink"/>
            <w:rFonts w:cs="Calibri"/>
            <w:szCs w:val="22"/>
          </w:rPr>
          <w:t>garwoodp@who.int</w:t>
        </w:r>
      </w:hyperlink>
      <w:r w:rsidRPr="00B71A29">
        <w:rPr>
          <w:rFonts w:cs="Calibri"/>
          <w:szCs w:val="22"/>
        </w:rPr>
        <w:t xml:space="preserve"> and </w:t>
      </w:r>
      <w:hyperlink r:id="rId12" w:history="1">
        <w:r w:rsidRPr="00B71A29">
          <w:rPr>
            <w:rStyle w:val="Hyperlink"/>
            <w:rFonts w:cs="Calibri"/>
            <w:szCs w:val="22"/>
          </w:rPr>
          <w:t>media@who.int</w:t>
        </w:r>
      </w:hyperlink>
    </w:p>
    <w:p w:rsidR="00EF5D83" w:rsidRPr="00B71A29" w:rsidRDefault="00EF5D83" w:rsidP="00B71A29">
      <w:pPr>
        <w:pStyle w:val="PlainText"/>
        <w:rPr>
          <w:rFonts w:cs="Calibri"/>
          <w:szCs w:val="22"/>
        </w:rPr>
      </w:pPr>
    </w:p>
    <w:p w:rsidR="00EF5D83" w:rsidRPr="00B71A29" w:rsidRDefault="00EF5D83" w:rsidP="00B71A29">
      <w:pPr>
        <w:pStyle w:val="PlainText"/>
        <w:outlineLvl w:val="0"/>
        <w:rPr>
          <w:rFonts w:cs="Calibri"/>
          <w:szCs w:val="22"/>
          <w:lang w:val="el-GR"/>
        </w:rPr>
      </w:pPr>
      <w:r w:rsidRPr="00B71A29">
        <w:rPr>
          <w:rFonts w:cs="Calibri"/>
          <w:szCs w:val="22"/>
          <w:lang w:val="el-GR"/>
        </w:rPr>
        <w:t>Αγγελική Ματσούκη</w:t>
      </w:r>
    </w:p>
    <w:p w:rsidR="00EF5D83" w:rsidRPr="00B71A29" w:rsidRDefault="00EF5D83" w:rsidP="00B71A29">
      <w:pPr>
        <w:pStyle w:val="PlainText"/>
        <w:rPr>
          <w:rFonts w:cs="Calibri"/>
          <w:szCs w:val="22"/>
          <w:lang w:val="el-GR"/>
        </w:rPr>
      </w:pPr>
      <w:r w:rsidRPr="00B71A29">
        <w:rPr>
          <w:rFonts w:cs="Calibri"/>
          <w:szCs w:val="22"/>
          <w:lang w:val="el-GR"/>
        </w:rPr>
        <w:t>ΤΜΗΜΑ ΔΙΕΘΝΩΝ ΚΑΙ ΔΗΜΟΣΙΩΝ ΣΧΕΣΕΩΝ</w:t>
      </w:r>
      <w:r w:rsidRPr="00B71A29">
        <w:rPr>
          <w:rFonts w:cs="Calibri"/>
          <w:szCs w:val="22"/>
          <w:lang w:val="el-GR"/>
        </w:rPr>
        <w:br/>
        <w:t>ΓΕΩΠΟΝΙΚΟ ΠΑΝΕΠΙΣΤΗΜΙΟ ΑΘΗΝΩΝ</w:t>
      </w:r>
    </w:p>
    <w:p w:rsidR="00EF5D83" w:rsidRPr="00B71A29" w:rsidRDefault="00EF5D83" w:rsidP="00B71A29">
      <w:pPr>
        <w:pStyle w:val="PlainText"/>
        <w:rPr>
          <w:rFonts w:cs="Calibri"/>
          <w:szCs w:val="22"/>
          <w:lang w:val="el-GR"/>
        </w:rPr>
      </w:pPr>
      <w:r w:rsidRPr="00B71A29">
        <w:rPr>
          <w:rFonts w:cs="Calibri"/>
          <w:szCs w:val="22"/>
          <w:lang w:val="el-GR"/>
        </w:rPr>
        <w:t>Τηλ +30 210 5294844</w:t>
      </w:r>
    </w:p>
    <w:p w:rsidR="00EF5D83" w:rsidRPr="00B71A29" w:rsidRDefault="00EF5D83" w:rsidP="00B71A29">
      <w:pPr>
        <w:pStyle w:val="PlainText"/>
        <w:rPr>
          <w:szCs w:val="22"/>
          <w:lang w:val="el-GR"/>
        </w:rPr>
      </w:pPr>
      <w:hyperlink r:id="rId13" w:history="1">
        <w:r w:rsidRPr="00B71A29">
          <w:rPr>
            <w:rStyle w:val="Hyperlink"/>
            <w:rFonts w:cs="Calibri"/>
            <w:szCs w:val="22"/>
            <w:lang w:val="en-US"/>
          </w:rPr>
          <w:t>public</w:t>
        </w:r>
        <w:r w:rsidRPr="00B71A29">
          <w:rPr>
            <w:rStyle w:val="Hyperlink"/>
            <w:rFonts w:cs="Calibri"/>
            <w:szCs w:val="22"/>
            <w:lang w:val="el-GR"/>
          </w:rPr>
          <w:t>.</w:t>
        </w:r>
        <w:r w:rsidRPr="00B71A29">
          <w:rPr>
            <w:rStyle w:val="Hyperlink"/>
            <w:rFonts w:cs="Calibri"/>
            <w:szCs w:val="22"/>
            <w:lang w:val="en-US"/>
          </w:rPr>
          <w:t>relations</w:t>
        </w:r>
        <w:r w:rsidRPr="00B71A29">
          <w:rPr>
            <w:rStyle w:val="Hyperlink"/>
            <w:rFonts w:cs="Calibri"/>
            <w:szCs w:val="22"/>
            <w:lang w:val="el-GR"/>
          </w:rPr>
          <w:t>@</w:t>
        </w:r>
        <w:r w:rsidRPr="00B71A29">
          <w:rPr>
            <w:rStyle w:val="Hyperlink"/>
            <w:rFonts w:cs="Calibri"/>
            <w:szCs w:val="22"/>
            <w:lang w:val="en-US"/>
          </w:rPr>
          <w:t>aua</w:t>
        </w:r>
        <w:r w:rsidRPr="00B71A29">
          <w:rPr>
            <w:rStyle w:val="Hyperlink"/>
            <w:rFonts w:cs="Calibri"/>
            <w:szCs w:val="22"/>
            <w:lang w:val="el-GR"/>
          </w:rPr>
          <w:t>.</w:t>
        </w:r>
        <w:r w:rsidRPr="00B71A29">
          <w:rPr>
            <w:rStyle w:val="Hyperlink"/>
            <w:rFonts w:cs="Calibri"/>
            <w:szCs w:val="22"/>
            <w:lang w:val="en-US"/>
          </w:rPr>
          <w:t>gr</w:t>
        </w:r>
      </w:hyperlink>
    </w:p>
    <w:sectPr w:rsidR="00EF5D83" w:rsidRPr="00B71A29" w:rsidSect="00061F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83" w:rsidRDefault="00EF5D83" w:rsidP="000C4103">
      <w:pPr>
        <w:spacing w:after="0" w:line="240" w:lineRule="auto"/>
      </w:pPr>
      <w:r>
        <w:separator/>
      </w:r>
    </w:p>
  </w:endnote>
  <w:endnote w:type="continuationSeparator" w:id="0">
    <w:p w:rsidR="00EF5D83" w:rsidRDefault="00EF5D83" w:rsidP="000C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83" w:rsidRDefault="00EF5D83" w:rsidP="000C4103">
      <w:pPr>
        <w:spacing w:after="0" w:line="240" w:lineRule="auto"/>
      </w:pPr>
      <w:r>
        <w:separator/>
      </w:r>
    </w:p>
  </w:footnote>
  <w:footnote w:type="continuationSeparator" w:id="0">
    <w:p w:rsidR="00EF5D83" w:rsidRDefault="00EF5D83" w:rsidP="000C4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58"/>
    <w:multiLevelType w:val="hybridMultilevel"/>
    <w:tmpl w:val="F9A2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B1DC9"/>
    <w:multiLevelType w:val="hybridMultilevel"/>
    <w:tmpl w:val="A75E7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6A2EA4"/>
    <w:multiLevelType w:val="hybridMultilevel"/>
    <w:tmpl w:val="25745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F3887"/>
    <w:multiLevelType w:val="hybridMultilevel"/>
    <w:tmpl w:val="7FD4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E006EE"/>
    <w:multiLevelType w:val="hybridMultilevel"/>
    <w:tmpl w:val="19E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E542F"/>
    <w:multiLevelType w:val="hybridMultilevel"/>
    <w:tmpl w:val="B3684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C4B65"/>
    <w:multiLevelType w:val="hybridMultilevel"/>
    <w:tmpl w:val="6EB8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9263A"/>
    <w:multiLevelType w:val="hybridMultilevel"/>
    <w:tmpl w:val="5CA0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3803F8"/>
    <w:multiLevelType w:val="hybridMultilevel"/>
    <w:tmpl w:val="BE3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1CA"/>
    <w:rsid w:val="00001984"/>
    <w:rsid w:val="00002348"/>
    <w:rsid w:val="000048F6"/>
    <w:rsid w:val="000125E4"/>
    <w:rsid w:val="00022EA2"/>
    <w:rsid w:val="000274A8"/>
    <w:rsid w:val="00027FDE"/>
    <w:rsid w:val="000403DF"/>
    <w:rsid w:val="00042F7D"/>
    <w:rsid w:val="0004343E"/>
    <w:rsid w:val="00045579"/>
    <w:rsid w:val="000456FB"/>
    <w:rsid w:val="00053219"/>
    <w:rsid w:val="00061FF8"/>
    <w:rsid w:val="00062584"/>
    <w:rsid w:val="000625AE"/>
    <w:rsid w:val="00073996"/>
    <w:rsid w:val="000852B1"/>
    <w:rsid w:val="00085797"/>
    <w:rsid w:val="00091246"/>
    <w:rsid w:val="0009740A"/>
    <w:rsid w:val="000A0636"/>
    <w:rsid w:val="000B5155"/>
    <w:rsid w:val="000B77C2"/>
    <w:rsid w:val="000C4103"/>
    <w:rsid w:val="000D2D98"/>
    <w:rsid w:val="000D30D0"/>
    <w:rsid w:val="000D411D"/>
    <w:rsid w:val="000D6C30"/>
    <w:rsid w:val="000D7490"/>
    <w:rsid w:val="000E56F2"/>
    <w:rsid w:val="000F30BF"/>
    <w:rsid w:val="00114BDB"/>
    <w:rsid w:val="0011639E"/>
    <w:rsid w:val="001179E1"/>
    <w:rsid w:val="00137710"/>
    <w:rsid w:val="00150397"/>
    <w:rsid w:val="00152C8E"/>
    <w:rsid w:val="0016008B"/>
    <w:rsid w:val="00160A2B"/>
    <w:rsid w:val="00166C30"/>
    <w:rsid w:val="001705B0"/>
    <w:rsid w:val="00176880"/>
    <w:rsid w:val="00176C08"/>
    <w:rsid w:val="0018067A"/>
    <w:rsid w:val="00186D91"/>
    <w:rsid w:val="00193A9B"/>
    <w:rsid w:val="0019600E"/>
    <w:rsid w:val="001A1F7F"/>
    <w:rsid w:val="001A466C"/>
    <w:rsid w:val="001B0FEB"/>
    <w:rsid w:val="001B1BF3"/>
    <w:rsid w:val="001C537A"/>
    <w:rsid w:val="001D1614"/>
    <w:rsid w:val="001D1FEB"/>
    <w:rsid w:val="001D3B65"/>
    <w:rsid w:val="001E2ED4"/>
    <w:rsid w:val="001E5B70"/>
    <w:rsid w:val="001F0DC7"/>
    <w:rsid w:val="002015EC"/>
    <w:rsid w:val="00204345"/>
    <w:rsid w:val="0020519E"/>
    <w:rsid w:val="00210A99"/>
    <w:rsid w:val="002133B8"/>
    <w:rsid w:val="002160A4"/>
    <w:rsid w:val="00220054"/>
    <w:rsid w:val="00230AE8"/>
    <w:rsid w:val="0023118B"/>
    <w:rsid w:val="0024223B"/>
    <w:rsid w:val="0025412D"/>
    <w:rsid w:val="0027321A"/>
    <w:rsid w:val="0028729F"/>
    <w:rsid w:val="00297E67"/>
    <w:rsid w:val="002A4E21"/>
    <w:rsid w:val="002B3CEA"/>
    <w:rsid w:val="002B61DD"/>
    <w:rsid w:val="002B74DE"/>
    <w:rsid w:val="002C6DDC"/>
    <w:rsid w:val="002F3AD9"/>
    <w:rsid w:val="00310D55"/>
    <w:rsid w:val="00311405"/>
    <w:rsid w:val="00313F9C"/>
    <w:rsid w:val="003706A0"/>
    <w:rsid w:val="00376418"/>
    <w:rsid w:val="00377D47"/>
    <w:rsid w:val="00392811"/>
    <w:rsid w:val="003B05A5"/>
    <w:rsid w:val="003B20CE"/>
    <w:rsid w:val="003B239B"/>
    <w:rsid w:val="003B7256"/>
    <w:rsid w:val="003D6965"/>
    <w:rsid w:val="003E02A1"/>
    <w:rsid w:val="003E07C4"/>
    <w:rsid w:val="003E7EA0"/>
    <w:rsid w:val="003F1FF8"/>
    <w:rsid w:val="003F4DFA"/>
    <w:rsid w:val="003F6AC4"/>
    <w:rsid w:val="0041270A"/>
    <w:rsid w:val="0041292A"/>
    <w:rsid w:val="00424CEF"/>
    <w:rsid w:val="004319DF"/>
    <w:rsid w:val="004341EC"/>
    <w:rsid w:val="00434D6A"/>
    <w:rsid w:val="00447FBA"/>
    <w:rsid w:val="00461825"/>
    <w:rsid w:val="004618CD"/>
    <w:rsid w:val="004628B5"/>
    <w:rsid w:val="004640A5"/>
    <w:rsid w:val="00465314"/>
    <w:rsid w:val="0047095C"/>
    <w:rsid w:val="004A2B90"/>
    <w:rsid w:val="004A4347"/>
    <w:rsid w:val="004A787F"/>
    <w:rsid w:val="004B4D9E"/>
    <w:rsid w:val="004B599B"/>
    <w:rsid w:val="004D3E80"/>
    <w:rsid w:val="004D446A"/>
    <w:rsid w:val="004F09E0"/>
    <w:rsid w:val="005048B8"/>
    <w:rsid w:val="00510705"/>
    <w:rsid w:val="00520D63"/>
    <w:rsid w:val="00540CE9"/>
    <w:rsid w:val="00541EE8"/>
    <w:rsid w:val="005463C7"/>
    <w:rsid w:val="005525C2"/>
    <w:rsid w:val="00553E0D"/>
    <w:rsid w:val="00563FA9"/>
    <w:rsid w:val="00571C3F"/>
    <w:rsid w:val="00572133"/>
    <w:rsid w:val="005739C7"/>
    <w:rsid w:val="005A1200"/>
    <w:rsid w:val="005A396C"/>
    <w:rsid w:val="005A61FB"/>
    <w:rsid w:val="005A6D0F"/>
    <w:rsid w:val="005B00FF"/>
    <w:rsid w:val="005C642E"/>
    <w:rsid w:val="005D1F2F"/>
    <w:rsid w:val="005D430E"/>
    <w:rsid w:val="005D615B"/>
    <w:rsid w:val="005F2538"/>
    <w:rsid w:val="00606CE5"/>
    <w:rsid w:val="00616566"/>
    <w:rsid w:val="00623ABF"/>
    <w:rsid w:val="00642651"/>
    <w:rsid w:val="00656CE0"/>
    <w:rsid w:val="00662451"/>
    <w:rsid w:val="00662CE0"/>
    <w:rsid w:val="00692180"/>
    <w:rsid w:val="0069552E"/>
    <w:rsid w:val="006A5B11"/>
    <w:rsid w:val="006B1A9B"/>
    <w:rsid w:val="006B4099"/>
    <w:rsid w:val="006C5D2E"/>
    <w:rsid w:val="006D399B"/>
    <w:rsid w:val="006D3F64"/>
    <w:rsid w:val="006F38A6"/>
    <w:rsid w:val="006F6880"/>
    <w:rsid w:val="007005BB"/>
    <w:rsid w:val="0070368E"/>
    <w:rsid w:val="00707A26"/>
    <w:rsid w:val="00711509"/>
    <w:rsid w:val="00720E94"/>
    <w:rsid w:val="0072290D"/>
    <w:rsid w:val="00731A8F"/>
    <w:rsid w:val="007327C7"/>
    <w:rsid w:val="0073421B"/>
    <w:rsid w:val="00743B9D"/>
    <w:rsid w:val="00744B4F"/>
    <w:rsid w:val="0074618D"/>
    <w:rsid w:val="007500B1"/>
    <w:rsid w:val="007550DE"/>
    <w:rsid w:val="00787D6D"/>
    <w:rsid w:val="007940E7"/>
    <w:rsid w:val="00797A52"/>
    <w:rsid w:val="007A5C74"/>
    <w:rsid w:val="007B1D29"/>
    <w:rsid w:val="007C1950"/>
    <w:rsid w:val="007C1E73"/>
    <w:rsid w:val="007D46D0"/>
    <w:rsid w:val="007D6DF5"/>
    <w:rsid w:val="007E68AA"/>
    <w:rsid w:val="007F03F4"/>
    <w:rsid w:val="007F5F34"/>
    <w:rsid w:val="007F67CF"/>
    <w:rsid w:val="0080530D"/>
    <w:rsid w:val="00816B32"/>
    <w:rsid w:val="00816DD2"/>
    <w:rsid w:val="00824CEE"/>
    <w:rsid w:val="008252A3"/>
    <w:rsid w:val="00833F78"/>
    <w:rsid w:val="008429DE"/>
    <w:rsid w:val="00845E57"/>
    <w:rsid w:val="00855BC8"/>
    <w:rsid w:val="00856783"/>
    <w:rsid w:val="00883950"/>
    <w:rsid w:val="008847E4"/>
    <w:rsid w:val="00885311"/>
    <w:rsid w:val="00887159"/>
    <w:rsid w:val="00897597"/>
    <w:rsid w:val="008A2CD7"/>
    <w:rsid w:val="008C34DD"/>
    <w:rsid w:val="008C363A"/>
    <w:rsid w:val="008C4B60"/>
    <w:rsid w:val="008E72DF"/>
    <w:rsid w:val="00900A53"/>
    <w:rsid w:val="00905866"/>
    <w:rsid w:val="00907BBC"/>
    <w:rsid w:val="00907F08"/>
    <w:rsid w:val="00940F66"/>
    <w:rsid w:val="00942009"/>
    <w:rsid w:val="00952072"/>
    <w:rsid w:val="0095453B"/>
    <w:rsid w:val="009573A8"/>
    <w:rsid w:val="00961A76"/>
    <w:rsid w:val="00963A1D"/>
    <w:rsid w:val="0096649E"/>
    <w:rsid w:val="009679AC"/>
    <w:rsid w:val="009754D0"/>
    <w:rsid w:val="009A6CC1"/>
    <w:rsid w:val="009B0A64"/>
    <w:rsid w:val="009B13F6"/>
    <w:rsid w:val="009B1911"/>
    <w:rsid w:val="009B5947"/>
    <w:rsid w:val="009C42C3"/>
    <w:rsid w:val="009D06B1"/>
    <w:rsid w:val="009E7C79"/>
    <w:rsid w:val="00A06E08"/>
    <w:rsid w:val="00A07D86"/>
    <w:rsid w:val="00A3199F"/>
    <w:rsid w:val="00A40B3C"/>
    <w:rsid w:val="00A41917"/>
    <w:rsid w:val="00A5016D"/>
    <w:rsid w:val="00A571E7"/>
    <w:rsid w:val="00A726CF"/>
    <w:rsid w:val="00A759E4"/>
    <w:rsid w:val="00A773B8"/>
    <w:rsid w:val="00A823BF"/>
    <w:rsid w:val="00A846FE"/>
    <w:rsid w:val="00AC6E6B"/>
    <w:rsid w:val="00AD1DF2"/>
    <w:rsid w:val="00AE075F"/>
    <w:rsid w:val="00AE3AC8"/>
    <w:rsid w:val="00AF0144"/>
    <w:rsid w:val="00AF33E9"/>
    <w:rsid w:val="00B03A30"/>
    <w:rsid w:val="00B12C80"/>
    <w:rsid w:val="00B2161B"/>
    <w:rsid w:val="00B3278B"/>
    <w:rsid w:val="00B33C75"/>
    <w:rsid w:val="00B620F2"/>
    <w:rsid w:val="00B71A29"/>
    <w:rsid w:val="00B73B53"/>
    <w:rsid w:val="00B74B70"/>
    <w:rsid w:val="00B80E63"/>
    <w:rsid w:val="00B91465"/>
    <w:rsid w:val="00B959E0"/>
    <w:rsid w:val="00B9676D"/>
    <w:rsid w:val="00BC0E24"/>
    <w:rsid w:val="00BC1732"/>
    <w:rsid w:val="00BD43C1"/>
    <w:rsid w:val="00BD56EA"/>
    <w:rsid w:val="00C0034D"/>
    <w:rsid w:val="00C137D9"/>
    <w:rsid w:val="00C24776"/>
    <w:rsid w:val="00C3574D"/>
    <w:rsid w:val="00C52C04"/>
    <w:rsid w:val="00C568FA"/>
    <w:rsid w:val="00C61CC4"/>
    <w:rsid w:val="00C62E0C"/>
    <w:rsid w:val="00C70E9D"/>
    <w:rsid w:val="00C96584"/>
    <w:rsid w:val="00CB2AF4"/>
    <w:rsid w:val="00CB45E7"/>
    <w:rsid w:val="00CB69BA"/>
    <w:rsid w:val="00CD3EF4"/>
    <w:rsid w:val="00CD4E52"/>
    <w:rsid w:val="00CD730B"/>
    <w:rsid w:val="00CD7BA7"/>
    <w:rsid w:val="00CE3ADC"/>
    <w:rsid w:val="00CE7FAD"/>
    <w:rsid w:val="00D30CB9"/>
    <w:rsid w:val="00D32A21"/>
    <w:rsid w:val="00D4182A"/>
    <w:rsid w:val="00D469D2"/>
    <w:rsid w:val="00D4784C"/>
    <w:rsid w:val="00D50594"/>
    <w:rsid w:val="00D701CA"/>
    <w:rsid w:val="00D70E9E"/>
    <w:rsid w:val="00D72EC8"/>
    <w:rsid w:val="00D74051"/>
    <w:rsid w:val="00D77E2F"/>
    <w:rsid w:val="00D851B3"/>
    <w:rsid w:val="00D8520D"/>
    <w:rsid w:val="00DA115E"/>
    <w:rsid w:val="00DB424E"/>
    <w:rsid w:val="00DB5F97"/>
    <w:rsid w:val="00DE32B3"/>
    <w:rsid w:val="00DE49F3"/>
    <w:rsid w:val="00DF27F5"/>
    <w:rsid w:val="00E03697"/>
    <w:rsid w:val="00E041EC"/>
    <w:rsid w:val="00E06D56"/>
    <w:rsid w:val="00E17BE5"/>
    <w:rsid w:val="00E21358"/>
    <w:rsid w:val="00E26A62"/>
    <w:rsid w:val="00E31C8B"/>
    <w:rsid w:val="00E369EB"/>
    <w:rsid w:val="00E408A8"/>
    <w:rsid w:val="00E458E4"/>
    <w:rsid w:val="00E6242F"/>
    <w:rsid w:val="00E634FE"/>
    <w:rsid w:val="00E7086B"/>
    <w:rsid w:val="00E756AC"/>
    <w:rsid w:val="00E803D2"/>
    <w:rsid w:val="00E8197C"/>
    <w:rsid w:val="00E84A5F"/>
    <w:rsid w:val="00E84D66"/>
    <w:rsid w:val="00E85AF6"/>
    <w:rsid w:val="00E86383"/>
    <w:rsid w:val="00E8785D"/>
    <w:rsid w:val="00E91422"/>
    <w:rsid w:val="00E92380"/>
    <w:rsid w:val="00EA7D79"/>
    <w:rsid w:val="00EC352F"/>
    <w:rsid w:val="00EC62AC"/>
    <w:rsid w:val="00ED115C"/>
    <w:rsid w:val="00ED13A8"/>
    <w:rsid w:val="00ED1918"/>
    <w:rsid w:val="00ED32C5"/>
    <w:rsid w:val="00EF5D83"/>
    <w:rsid w:val="00EF620A"/>
    <w:rsid w:val="00EF7A19"/>
    <w:rsid w:val="00F0451B"/>
    <w:rsid w:val="00F04F10"/>
    <w:rsid w:val="00F06D80"/>
    <w:rsid w:val="00F26278"/>
    <w:rsid w:val="00F41AE0"/>
    <w:rsid w:val="00F43A06"/>
    <w:rsid w:val="00F56D67"/>
    <w:rsid w:val="00F70141"/>
    <w:rsid w:val="00F719AE"/>
    <w:rsid w:val="00FE301D"/>
    <w:rsid w:val="00FE672F"/>
    <w:rsid w:val="00FE6820"/>
    <w:rsid w:val="00FF6C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F8"/>
    <w:pPr>
      <w:spacing w:after="200" w:line="276" w:lineRule="auto"/>
    </w:pPr>
    <w:rPr>
      <w:lang w:val="en-GB" w:eastAsia="en-US"/>
    </w:rPr>
  </w:style>
  <w:style w:type="paragraph" w:styleId="Heading1">
    <w:name w:val="heading 1"/>
    <w:basedOn w:val="Normal"/>
    <w:next w:val="Normal"/>
    <w:link w:val="Heading1Char"/>
    <w:uiPriority w:val="99"/>
    <w:qFormat/>
    <w:locked/>
    <w:rsid w:val="00176880"/>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E369EB"/>
    <w:pPr>
      <w:spacing w:before="100" w:beforeAutospacing="1" w:after="100" w:afterAutospacing="1" w:line="240" w:lineRule="auto"/>
      <w:outlineLvl w:val="3"/>
    </w:pPr>
    <w:rPr>
      <w:rFonts w:ascii="Times New Roman" w:hAnsi="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6B0"/>
    <w:rPr>
      <w:rFonts w:asciiTheme="majorHAnsi" w:eastAsiaTheme="majorEastAsia" w:hAnsiTheme="majorHAnsi" w:cstheme="majorBidi"/>
      <w:b/>
      <w:bCs/>
      <w:kern w:val="32"/>
      <w:sz w:val="32"/>
      <w:szCs w:val="32"/>
      <w:lang w:val="en-GB" w:eastAsia="en-US"/>
    </w:rPr>
  </w:style>
  <w:style w:type="character" w:customStyle="1" w:styleId="Heading4Char">
    <w:name w:val="Heading 4 Char"/>
    <w:basedOn w:val="DefaultParagraphFont"/>
    <w:link w:val="Heading4"/>
    <w:uiPriority w:val="99"/>
    <w:locked/>
    <w:rsid w:val="00E369EB"/>
    <w:rPr>
      <w:rFonts w:ascii="Times New Roman" w:hAnsi="Times New Roman" w:cs="Times New Roman"/>
      <w:b/>
      <w:bCs/>
      <w:sz w:val="24"/>
      <w:szCs w:val="24"/>
      <w:lang w:val="en-US"/>
    </w:rPr>
  </w:style>
  <w:style w:type="paragraph" w:styleId="PlainText">
    <w:name w:val="Plain Text"/>
    <w:basedOn w:val="Normal"/>
    <w:link w:val="PlainTextChar"/>
    <w:uiPriority w:val="99"/>
    <w:rsid w:val="00D701CA"/>
    <w:pPr>
      <w:spacing w:after="0" w:line="240" w:lineRule="auto"/>
    </w:pPr>
    <w:rPr>
      <w:rFonts w:cs="Consolas"/>
      <w:szCs w:val="21"/>
    </w:rPr>
  </w:style>
  <w:style w:type="character" w:customStyle="1" w:styleId="PlainTextChar">
    <w:name w:val="Plain Text Char"/>
    <w:basedOn w:val="DefaultParagraphFont"/>
    <w:link w:val="PlainText"/>
    <w:uiPriority w:val="99"/>
    <w:locked/>
    <w:rsid w:val="00D701CA"/>
    <w:rPr>
      <w:rFonts w:ascii="Calibri" w:hAnsi="Calibri" w:cs="Consolas"/>
      <w:sz w:val="21"/>
      <w:szCs w:val="21"/>
    </w:rPr>
  </w:style>
  <w:style w:type="paragraph" w:styleId="ListParagraph">
    <w:name w:val="List Paragraph"/>
    <w:basedOn w:val="Normal"/>
    <w:uiPriority w:val="99"/>
    <w:qFormat/>
    <w:rsid w:val="007A5C74"/>
    <w:pPr>
      <w:ind w:left="720"/>
      <w:contextualSpacing/>
    </w:pPr>
  </w:style>
  <w:style w:type="paragraph" w:styleId="BalloonText">
    <w:name w:val="Balloon Text"/>
    <w:basedOn w:val="Normal"/>
    <w:link w:val="BalloonTextChar"/>
    <w:uiPriority w:val="99"/>
    <w:semiHidden/>
    <w:rsid w:val="00F7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0141"/>
    <w:rPr>
      <w:rFonts w:ascii="Segoe UI" w:hAnsi="Segoe UI" w:cs="Segoe UI"/>
      <w:sz w:val="18"/>
      <w:szCs w:val="18"/>
    </w:rPr>
  </w:style>
  <w:style w:type="character" w:styleId="CommentReference">
    <w:name w:val="annotation reference"/>
    <w:basedOn w:val="DefaultParagraphFont"/>
    <w:uiPriority w:val="99"/>
    <w:semiHidden/>
    <w:rsid w:val="005048B8"/>
    <w:rPr>
      <w:rFonts w:cs="Times New Roman"/>
      <w:sz w:val="16"/>
      <w:szCs w:val="16"/>
    </w:rPr>
  </w:style>
  <w:style w:type="paragraph" w:styleId="CommentText">
    <w:name w:val="annotation text"/>
    <w:basedOn w:val="Normal"/>
    <w:link w:val="CommentTextChar"/>
    <w:uiPriority w:val="99"/>
    <w:semiHidden/>
    <w:rsid w:val="005048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48B8"/>
    <w:rPr>
      <w:rFonts w:cs="Times New Roman"/>
      <w:sz w:val="20"/>
      <w:szCs w:val="20"/>
    </w:rPr>
  </w:style>
  <w:style w:type="paragraph" w:styleId="CommentSubject">
    <w:name w:val="annotation subject"/>
    <w:basedOn w:val="CommentText"/>
    <w:next w:val="CommentText"/>
    <w:link w:val="CommentSubjectChar"/>
    <w:uiPriority w:val="99"/>
    <w:semiHidden/>
    <w:rsid w:val="005048B8"/>
    <w:rPr>
      <w:b/>
      <w:bCs/>
    </w:rPr>
  </w:style>
  <w:style w:type="character" w:customStyle="1" w:styleId="CommentSubjectChar">
    <w:name w:val="Comment Subject Char"/>
    <w:basedOn w:val="CommentTextChar"/>
    <w:link w:val="CommentSubject"/>
    <w:uiPriority w:val="99"/>
    <w:semiHidden/>
    <w:locked/>
    <w:rsid w:val="005048B8"/>
    <w:rPr>
      <w:b/>
      <w:bCs/>
    </w:rPr>
  </w:style>
  <w:style w:type="paragraph" w:styleId="Revision">
    <w:name w:val="Revision"/>
    <w:hidden/>
    <w:uiPriority w:val="99"/>
    <w:semiHidden/>
    <w:rsid w:val="005048B8"/>
    <w:rPr>
      <w:lang w:val="en-GB" w:eastAsia="en-US"/>
    </w:rPr>
  </w:style>
  <w:style w:type="character" w:styleId="Hyperlink">
    <w:name w:val="Hyperlink"/>
    <w:basedOn w:val="DefaultParagraphFont"/>
    <w:uiPriority w:val="99"/>
    <w:rsid w:val="00C137D9"/>
    <w:rPr>
      <w:rFonts w:cs="Times New Roman"/>
      <w:color w:val="0000FF"/>
      <w:u w:val="single"/>
    </w:rPr>
  </w:style>
  <w:style w:type="character" w:styleId="Emphasis">
    <w:name w:val="Emphasis"/>
    <w:basedOn w:val="DefaultParagraphFont"/>
    <w:uiPriority w:val="99"/>
    <w:qFormat/>
    <w:rsid w:val="0027321A"/>
    <w:rPr>
      <w:rFonts w:cs="Times New Roman"/>
      <w:i/>
      <w:iCs/>
    </w:rPr>
  </w:style>
  <w:style w:type="character" w:customStyle="1" w:styleId="apple-converted-space">
    <w:name w:val="apple-converted-space"/>
    <w:basedOn w:val="DefaultParagraphFont"/>
    <w:uiPriority w:val="99"/>
    <w:rsid w:val="0027321A"/>
    <w:rPr>
      <w:rFonts w:cs="Times New Roman"/>
    </w:rPr>
  </w:style>
  <w:style w:type="paragraph" w:styleId="NoSpacing">
    <w:name w:val="No Spacing"/>
    <w:uiPriority w:val="99"/>
    <w:qFormat/>
    <w:rsid w:val="005A61FB"/>
    <w:rPr>
      <w:lang w:val="en-GB" w:eastAsia="en-US"/>
    </w:rPr>
  </w:style>
  <w:style w:type="paragraph" w:styleId="Header">
    <w:name w:val="header"/>
    <w:basedOn w:val="Normal"/>
    <w:link w:val="HeaderChar"/>
    <w:uiPriority w:val="99"/>
    <w:rsid w:val="000C410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4103"/>
    <w:rPr>
      <w:rFonts w:cs="Times New Roman"/>
    </w:rPr>
  </w:style>
  <w:style w:type="paragraph" w:styleId="Footer">
    <w:name w:val="footer"/>
    <w:basedOn w:val="Normal"/>
    <w:link w:val="FooterChar"/>
    <w:uiPriority w:val="99"/>
    <w:rsid w:val="000C41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4103"/>
    <w:rPr>
      <w:rFonts w:cs="Times New Roman"/>
    </w:rPr>
  </w:style>
  <w:style w:type="character" w:styleId="FollowedHyperlink">
    <w:name w:val="FollowedHyperlink"/>
    <w:basedOn w:val="DefaultParagraphFont"/>
    <w:uiPriority w:val="99"/>
    <w:semiHidden/>
    <w:rsid w:val="009A6CC1"/>
    <w:rPr>
      <w:rFonts w:cs="Times New Roman"/>
      <w:color w:val="800080"/>
      <w:u w:val="single"/>
    </w:rPr>
  </w:style>
  <w:style w:type="paragraph" w:styleId="DocumentMap">
    <w:name w:val="Document Map"/>
    <w:basedOn w:val="Normal"/>
    <w:link w:val="DocumentMapChar"/>
    <w:uiPriority w:val="99"/>
    <w:semiHidden/>
    <w:rsid w:val="00A319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91465"/>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051995535">
      <w:marLeft w:val="0"/>
      <w:marRight w:val="0"/>
      <w:marTop w:val="0"/>
      <w:marBottom w:val="0"/>
      <w:divBdr>
        <w:top w:val="none" w:sz="0" w:space="0" w:color="auto"/>
        <w:left w:val="none" w:sz="0" w:space="0" w:color="auto"/>
        <w:bottom w:val="none" w:sz="0" w:space="0" w:color="auto"/>
        <w:right w:val="none" w:sz="0" w:space="0" w:color="auto"/>
      </w:divBdr>
    </w:div>
    <w:div w:id="1051995536">
      <w:marLeft w:val="0"/>
      <w:marRight w:val="0"/>
      <w:marTop w:val="0"/>
      <w:marBottom w:val="0"/>
      <w:divBdr>
        <w:top w:val="none" w:sz="0" w:space="0" w:color="auto"/>
        <w:left w:val="none" w:sz="0" w:space="0" w:color="auto"/>
        <w:bottom w:val="none" w:sz="0" w:space="0" w:color="auto"/>
        <w:right w:val="none" w:sz="0" w:space="0" w:color="auto"/>
      </w:divBdr>
    </w:div>
    <w:div w:id="1051995537">
      <w:marLeft w:val="0"/>
      <w:marRight w:val="0"/>
      <w:marTop w:val="0"/>
      <w:marBottom w:val="0"/>
      <w:divBdr>
        <w:top w:val="none" w:sz="0" w:space="0" w:color="auto"/>
        <w:left w:val="none" w:sz="0" w:space="0" w:color="auto"/>
        <w:bottom w:val="none" w:sz="0" w:space="0" w:color="auto"/>
        <w:right w:val="none" w:sz="0" w:space="0" w:color="auto"/>
      </w:divBdr>
    </w:div>
    <w:div w:id="1051995538">
      <w:marLeft w:val="0"/>
      <w:marRight w:val="0"/>
      <w:marTop w:val="0"/>
      <w:marBottom w:val="0"/>
      <w:divBdr>
        <w:top w:val="none" w:sz="0" w:space="0" w:color="auto"/>
        <w:left w:val="none" w:sz="0" w:space="0" w:color="auto"/>
        <w:bottom w:val="none" w:sz="0" w:space="0" w:color="auto"/>
        <w:right w:val="none" w:sz="0" w:space="0" w:color="auto"/>
      </w:divBdr>
    </w:div>
    <w:div w:id="1051995540">
      <w:marLeft w:val="0"/>
      <w:marRight w:val="0"/>
      <w:marTop w:val="0"/>
      <w:marBottom w:val="0"/>
      <w:divBdr>
        <w:top w:val="none" w:sz="0" w:space="0" w:color="auto"/>
        <w:left w:val="none" w:sz="0" w:space="0" w:color="auto"/>
        <w:bottom w:val="none" w:sz="0" w:space="0" w:color="auto"/>
        <w:right w:val="none" w:sz="0" w:space="0" w:color="auto"/>
      </w:divBdr>
    </w:div>
    <w:div w:id="1051995542">
      <w:marLeft w:val="0"/>
      <w:marRight w:val="0"/>
      <w:marTop w:val="0"/>
      <w:marBottom w:val="0"/>
      <w:divBdr>
        <w:top w:val="none" w:sz="0" w:space="0" w:color="auto"/>
        <w:left w:val="none" w:sz="0" w:space="0" w:color="auto"/>
        <w:bottom w:val="none" w:sz="0" w:space="0" w:color="auto"/>
        <w:right w:val="none" w:sz="0" w:space="0" w:color="auto"/>
      </w:divBdr>
    </w:div>
    <w:div w:id="1051995543">
      <w:marLeft w:val="0"/>
      <w:marRight w:val="0"/>
      <w:marTop w:val="0"/>
      <w:marBottom w:val="0"/>
      <w:divBdr>
        <w:top w:val="none" w:sz="0" w:space="0" w:color="auto"/>
        <w:left w:val="none" w:sz="0" w:space="0" w:color="auto"/>
        <w:bottom w:val="none" w:sz="0" w:space="0" w:color="auto"/>
        <w:right w:val="none" w:sz="0" w:space="0" w:color="auto"/>
      </w:divBdr>
    </w:div>
    <w:div w:id="1051995544">
      <w:marLeft w:val="0"/>
      <w:marRight w:val="0"/>
      <w:marTop w:val="0"/>
      <w:marBottom w:val="0"/>
      <w:divBdr>
        <w:top w:val="none" w:sz="0" w:space="0" w:color="auto"/>
        <w:left w:val="none" w:sz="0" w:space="0" w:color="auto"/>
        <w:bottom w:val="none" w:sz="0" w:space="0" w:color="auto"/>
        <w:right w:val="none" w:sz="0" w:space="0" w:color="auto"/>
      </w:divBdr>
    </w:div>
    <w:div w:id="1051995546">
      <w:marLeft w:val="0"/>
      <w:marRight w:val="0"/>
      <w:marTop w:val="0"/>
      <w:marBottom w:val="0"/>
      <w:divBdr>
        <w:top w:val="none" w:sz="0" w:space="0" w:color="auto"/>
        <w:left w:val="none" w:sz="0" w:space="0" w:color="auto"/>
        <w:bottom w:val="none" w:sz="0" w:space="0" w:color="auto"/>
        <w:right w:val="none" w:sz="0" w:space="0" w:color="auto"/>
      </w:divBdr>
      <w:divsChild>
        <w:div w:id="1051995539">
          <w:marLeft w:val="720"/>
          <w:marRight w:val="720"/>
          <w:marTop w:val="100"/>
          <w:marBottom w:val="100"/>
          <w:divBdr>
            <w:top w:val="none" w:sz="0" w:space="0" w:color="auto"/>
            <w:left w:val="none" w:sz="0" w:space="0" w:color="auto"/>
            <w:bottom w:val="none" w:sz="0" w:space="0" w:color="auto"/>
            <w:right w:val="none" w:sz="0" w:space="0" w:color="auto"/>
          </w:divBdr>
          <w:divsChild>
            <w:div w:id="1051995545">
              <w:marLeft w:val="0"/>
              <w:marRight w:val="0"/>
              <w:marTop w:val="0"/>
              <w:marBottom w:val="0"/>
              <w:divBdr>
                <w:top w:val="none" w:sz="0" w:space="0" w:color="auto"/>
                <w:left w:val="none" w:sz="0" w:space="0" w:color="auto"/>
                <w:bottom w:val="none" w:sz="0" w:space="0" w:color="auto"/>
                <w:right w:val="none" w:sz="0" w:space="0" w:color="auto"/>
              </w:divBdr>
              <w:divsChild>
                <w:div w:id="1051995551">
                  <w:marLeft w:val="720"/>
                  <w:marRight w:val="720"/>
                  <w:marTop w:val="100"/>
                  <w:marBottom w:val="100"/>
                  <w:divBdr>
                    <w:top w:val="none" w:sz="0" w:space="0" w:color="auto"/>
                    <w:left w:val="none" w:sz="0" w:space="0" w:color="auto"/>
                    <w:bottom w:val="none" w:sz="0" w:space="0" w:color="auto"/>
                    <w:right w:val="none" w:sz="0" w:space="0" w:color="auto"/>
                  </w:divBdr>
                  <w:divsChild>
                    <w:div w:id="1051995554">
                      <w:marLeft w:val="0"/>
                      <w:marRight w:val="0"/>
                      <w:marTop w:val="0"/>
                      <w:marBottom w:val="0"/>
                      <w:divBdr>
                        <w:top w:val="none" w:sz="0" w:space="0" w:color="auto"/>
                        <w:left w:val="none" w:sz="0" w:space="0" w:color="auto"/>
                        <w:bottom w:val="none" w:sz="0" w:space="0" w:color="auto"/>
                        <w:right w:val="none" w:sz="0" w:space="0" w:color="auto"/>
                      </w:divBdr>
                      <w:divsChild>
                        <w:div w:id="1051995550">
                          <w:marLeft w:val="0"/>
                          <w:marRight w:val="0"/>
                          <w:marTop w:val="0"/>
                          <w:marBottom w:val="0"/>
                          <w:divBdr>
                            <w:top w:val="none" w:sz="0" w:space="0" w:color="auto"/>
                            <w:left w:val="none" w:sz="0" w:space="0" w:color="auto"/>
                            <w:bottom w:val="none" w:sz="0" w:space="0" w:color="auto"/>
                            <w:right w:val="none" w:sz="0" w:space="0" w:color="auto"/>
                          </w:divBdr>
                          <w:divsChild>
                            <w:div w:id="10519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5547">
      <w:marLeft w:val="0"/>
      <w:marRight w:val="0"/>
      <w:marTop w:val="0"/>
      <w:marBottom w:val="0"/>
      <w:divBdr>
        <w:top w:val="none" w:sz="0" w:space="0" w:color="auto"/>
        <w:left w:val="none" w:sz="0" w:space="0" w:color="auto"/>
        <w:bottom w:val="none" w:sz="0" w:space="0" w:color="auto"/>
        <w:right w:val="none" w:sz="0" w:space="0" w:color="auto"/>
      </w:divBdr>
    </w:div>
    <w:div w:id="1051995548">
      <w:marLeft w:val="0"/>
      <w:marRight w:val="0"/>
      <w:marTop w:val="0"/>
      <w:marBottom w:val="0"/>
      <w:divBdr>
        <w:top w:val="none" w:sz="0" w:space="0" w:color="auto"/>
        <w:left w:val="none" w:sz="0" w:space="0" w:color="auto"/>
        <w:bottom w:val="none" w:sz="0" w:space="0" w:color="auto"/>
        <w:right w:val="none" w:sz="0" w:space="0" w:color="auto"/>
      </w:divBdr>
    </w:div>
    <w:div w:id="1051995549">
      <w:marLeft w:val="0"/>
      <w:marRight w:val="0"/>
      <w:marTop w:val="0"/>
      <w:marBottom w:val="0"/>
      <w:divBdr>
        <w:top w:val="none" w:sz="0" w:space="0" w:color="auto"/>
        <w:left w:val="none" w:sz="0" w:space="0" w:color="auto"/>
        <w:bottom w:val="none" w:sz="0" w:space="0" w:color="auto"/>
        <w:right w:val="none" w:sz="0" w:space="0" w:color="auto"/>
      </w:divBdr>
    </w:div>
    <w:div w:id="1051995552">
      <w:marLeft w:val="0"/>
      <w:marRight w:val="0"/>
      <w:marTop w:val="0"/>
      <w:marBottom w:val="0"/>
      <w:divBdr>
        <w:top w:val="none" w:sz="0" w:space="0" w:color="auto"/>
        <w:left w:val="none" w:sz="0" w:space="0" w:color="auto"/>
        <w:bottom w:val="none" w:sz="0" w:space="0" w:color="auto"/>
        <w:right w:val="none" w:sz="0" w:space="0" w:color="auto"/>
      </w:divBdr>
    </w:div>
    <w:div w:id="1051995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ki@aua.gr" TargetMode="External"/><Relationship Id="rId13"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ia@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woodp@who.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ine.brogan@imperial.ac.uk" TargetMode="External"/><Relationship Id="rId4" Type="http://schemas.openxmlformats.org/officeDocument/2006/relationships/webSettings" Target="webSettings.xml"/><Relationship Id="rId9" Type="http://schemas.openxmlformats.org/officeDocument/2006/relationships/hyperlink" Target="mailto:public.relations@au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1656</Words>
  <Characters>8945</Characters>
  <Application>Microsoft Office Outlook</Application>
  <DocSecurity>0</DocSecurity>
  <Lines>0</Lines>
  <Paragraphs>0</Paragraphs>
  <ScaleCrop>false</ScaleCrop>
  <Company>Imperial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Δεκαπλασιασμός της παιδικής και εφηβικής παχυσαρκίας μέσα σε τέσσερις δεκαετίες: νέα μελέτη από το IMPERIAL COLLEGE LONDON και τον ΠΑΓΚΟΣΜΙΟ ΟΡΓΑΝΙΣΜΟ ΥΓΕΙΑΣ με συμμετοχή του ΓΕΩΠΟΝΙΚΟΥ ΠΑΝΕΠΙΣΤΗΜΙΟΥ ΑΘΗΝΩΝ</dc:title>
  <dc:subject/>
  <dc:creator>Brogan, Caroline F</dc:creator>
  <cp:keywords/>
  <dc:description/>
  <cp:lastModifiedBy>user</cp:lastModifiedBy>
  <cp:revision>2</cp:revision>
  <cp:lastPrinted>2017-10-06T12:47:00Z</cp:lastPrinted>
  <dcterms:created xsi:type="dcterms:W3CDTF">2017-10-12T07:29:00Z</dcterms:created>
  <dcterms:modified xsi:type="dcterms:W3CDTF">2017-10-12T07:29:00Z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